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media/image13.jpeg" ContentType="image/jpeg"/>
  <Override PartName="/word/media/image12.jpeg" ContentType="image/jpeg"/>
  <Override PartName="/word/media/image11.jpeg" ContentType="image/jpeg"/>
  <Override PartName="/word/media/image8.jpeg" ContentType="image/jpeg"/>
  <Override PartName="/word/media/image7.jpeg" ContentType="image/jpeg"/>
  <Override PartName="/word/media/image9.jpeg" ContentType="image/jpeg"/>
  <Override PartName="/word/media/image6.jpeg" ContentType="image/jpeg"/>
  <Override PartName="/word/media/image4.jpeg" ContentType="image/jpeg"/>
  <Override PartName="/word/media/image5.jpeg" ContentType="image/jpeg"/>
  <Override PartName="/word/media/image3.jpeg" ContentType="image/jpeg"/>
  <Override PartName="/word/media/image2.jpeg" ContentType="image/jpeg"/>
  <Override PartName="/word/media/image10.png" ContentType="image/png"/>
  <Override PartName="/word/media/image1.jpeg" ContentType="image/jpe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200"/>
        <w:contextualSpacing/>
        <w:jc w:val="right"/>
        <w:rPr>
          <w:rFonts w:cs="Times New Roman" w:ascii="Times New Roman" w:hAnsi="Times New Roman"/>
          <w:bCs/>
          <w:sz w:val="22"/>
          <w:szCs w:val="28"/>
          <w:lang w:eastAsia="en-US"/>
        </w:rPr>
      </w:pPr>
      <w:r>
        <w:rPr>
          <w:rFonts w:cs="Times New Roman" w:ascii="Times New Roman" w:hAnsi="Times New Roman"/>
          <w:bCs/>
          <w:sz w:val="22"/>
          <w:szCs w:val="28"/>
          <w:lang w:eastAsia="en-US"/>
        </w:rPr>
        <w:t xml:space="preserve">Приложение 2 к письму </w:t>
      </w:r>
    </w:p>
    <w:p>
      <w:pPr>
        <w:pStyle w:val="Normal"/>
        <w:spacing w:lineRule="auto" w:line="240" w:before="0" w:after="200"/>
        <w:contextualSpacing/>
        <w:jc w:val="right"/>
        <w:rPr>
          <w:rFonts w:cs="Times New Roman" w:ascii="Times New Roman" w:hAnsi="Times New Roman"/>
          <w:bCs/>
          <w:sz w:val="22"/>
          <w:szCs w:val="28"/>
          <w:lang w:eastAsia="en-US"/>
        </w:rPr>
      </w:pPr>
      <w:r>
        <w:rPr>
          <w:rFonts w:cs="Times New Roman" w:ascii="Times New Roman" w:hAnsi="Times New Roman"/>
          <w:bCs/>
          <w:sz w:val="22"/>
          <w:szCs w:val="28"/>
          <w:lang w:eastAsia="en-US"/>
        </w:rPr>
        <w:t>Рособрнадзора от 25.12.15 № 01-311/10-01</w:t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ind w:left="0" w:right="0" w:hanging="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widowControl w:val="false"/>
        <w:spacing w:lineRule="auto" w:line="240" w:before="0" w:after="0"/>
        <w:jc w:val="center"/>
        <w:rPr>
          <w:rFonts w:cs="Times New Roman" w:ascii="Times New Roman" w:hAnsi="Times New Roman"/>
          <w:b/>
          <w:sz w:val="36"/>
          <w:szCs w:val="36"/>
          <w:lang w:eastAsia="en-US"/>
        </w:rPr>
      </w:pPr>
      <w:r>
        <w:rPr>
          <w:rFonts w:cs="Times New Roman" w:ascii="Times New Roman" w:hAnsi="Times New Roman"/>
          <w:b/>
          <w:sz w:val="36"/>
          <w:szCs w:val="36"/>
          <w:lang w:eastAsia="en-US"/>
        </w:rPr>
        <w:t xml:space="preserve">Правила заполнения бланков </w:t>
      </w:r>
    </w:p>
    <w:p>
      <w:pPr>
        <w:pStyle w:val="Normal"/>
        <w:widowControl w:val="false"/>
        <w:spacing w:lineRule="auto" w:line="240" w:before="0" w:after="0"/>
        <w:jc w:val="center"/>
        <w:rPr>
          <w:rFonts w:cs="Times New Roman" w:ascii="Times New Roman" w:hAnsi="Times New Roman"/>
          <w:b/>
          <w:sz w:val="36"/>
          <w:szCs w:val="36"/>
          <w:lang w:eastAsia="en-US"/>
        </w:rPr>
      </w:pPr>
      <w:r>
        <w:rPr>
          <w:rFonts w:cs="Times New Roman" w:ascii="Times New Roman" w:hAnsi="Times New Roman"/>
          <w:b/>
          <w:sz w:val="36"/>
          <w:szCs w:val="36"/>
          <w:lang w:eastAsia="en-US"/>
        </w:rPr>
        <w:t>единого государственного экзамена</w:t>
      </w:r>
    </w:p>
    <w:p>
      <w:pPr>
        <w:pStyle w:val="Normal"/>
        <w:spacing w:lineRule="auto" w:line="240" w:before="0" w:after="0"/>
        <w:jc w:val="center"/>
        <w:rPr>
          <w:rFonts w:cs="Times New Roman" w:ascii="Times New Roman" w:hAnsi="Times New Roman"/>
          <w:b/>
          <w:sz w:val="36"/>
          <w:szCs w:val="36"/>
          <w:lang w:eastAsia="en-US"/>
        </w:rPr>
      </w:pPr>
      <w:r>
        <w:rPr>
          <w:rFonts w:cs="Times New Roman" w:ascii="Times New Roman" w:hAnsi="Times New Roman"/>
          <w:b/>
          <w:sz w:val="36"/>
          <w:szCs w:val="36"/>
          <w:lang w:eastAsia="en-US"/>
        </w:rPr>
        <w:t>в 2016 году</w:t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/>
        <w:rPr>
          <w:rFonts w:cs="Times New Roman" w:ascii="Times New Roman" w:hAnsi="Times New Roman"/>
          <w:sz w:val="28"/>
          <w:szCs w:val="26"/>
        </w:rPr>
      </w:pPr>
      <w:bookmarkStart w:id="0" w:name="_GoBack"/>
      <w:bookmarkStart w:id="1" w:name="_GoBack"/>
      <w:bookmarkEnd w:id="1"/>
      <w:r>
        <w:rPr>
          <w:rFonts w:cs="Times New Roman" w:ascii="Times New Roman" w:hAnsi="Times New Roman"/>
          <w:sz w:val="28"/>
          <w:szCs w:val="26"/>
        </w:rPr>
      </w:r>
    </w:p>
    <w:p>
      <w:pPr>
        <w:sectPr>
          <w:footerReference w:type="default" r:id="rId2"/>
          <w:type w:val="nextPage"/>
          <w:pgSz w:w="11906" w:h="16838"/>
          <w:pgMar w:left="1134" w:right="851" w:header="0" w:top="993" w:footer="380" w:bottom="437" w:gutter="0"/>
          <w:pgNumType w:fmt="decimal"/>
          <w:formProt w:val="false"/>
          <w:titlePg/>
          <w:textDirection w:val="lrTb"/>
          <w:docGrid w:type="default" w:linePitch="440" w:charSpace="4294961151"/>
        </w:sectPr>
        <w:pStyle w:val="Normal"/>
        <w:spacing w:lineRule="auto" w:line="240"/>
        <w:jc w:val="center"/>
        <w:rPr>
          <w:rFonts w:cs="Times New Roman" w:ascii="Times New Roman" w:hAnsi="Times New Roman"/>
          <w:b/>
          <w:sz w:val="28"/>
          <w:szCs w:val="26"/>
          <w:lang w:eastAsia="en-US"/>
        </w:rPr>
      </w:pPr>
      <w:r>
        <w:rPr>
          <w:rFonts w:cs="Times New Roman" w:ascii="Times New Roman" w:hAnsi="Times New Roman"/>
          <w:b/>
          <w:sz w:val="28"/>
          <w:szCs w:val="26"/>
          <w:lang w:eastAsia="en-US"/>
        </w:rPr>
        <w:t>Москва, 2016</w:t>
      </w:r>
    </w:p>
    <w:p>
      <w:pPr>
        <w:pStyle w:val="Normal"/>
        <w:pageBreakBefore/>
        <w:spacing w:lineRule="auto" w:line="240"/>
        <w:jc w:val="center"/>
        <w:rPr>
          <w:rFonts w:cs="Times New Roman" w:ascii="Times New Roman" w:hAnsi="Times New Roman"/>
          <w:b/>
          <w:sz w:val="32"/>
          <w:szCs w:val="26"/>
        </w:rPr>
      </w:pPr>
      <w:bookmarkStart w:id="2" w:name="_GoBack"/>
      <w:bookmarkEnd w:id="2"/>
      <w:r>
        <w:rPr>
          <w:rFonts w:cs="Times New Roman" w:ascii="Times New Roman" w:hAnsi="Times New Roman"/>
          <w:b/>
          <w:sz w:val="32"/>
          <w:szCs w:val="26"/>
        </w:rPr>
        <w:t>Оглавление</w:t>
      </w:r>
    </w:p>
    <w:p>
      <w:pPr>
        <w:pStyle w:val="12"/>
        <w:tabs>
          <w:tab w:val="right" w:pos="9921" w:leader="dot"/>
        </w:tabs>
        <w:rPr>
          <w:rStyle w:val="Style17"/>
        </w:rPr>
      </w:pPr>
      <w:r>
        <w:fldChar w:fldCharType="begin"/>
      </w:r>
      <w:r>
        <w:instrText> TOC </w:instrText>
      </w:r>
      <w:r>
        <w:fldChar w:fldCharType="separate"/>
      </w:r>
      <w:hyperlink w:anchor="__RefHeading__5955_678713871">
        <w:r>
          <w:rPr>
            <w:rStyle w:val="Style17"/>
          </w:rPr>
          <w:t>1.Введение</w:t>
          <w:tab/>
          <w:t>5</w:t>
        </w:r>
      </w:hyperlink>
    </w:p>
    <w:p>
      <w:pPr>
        <w:pStyle w:val="12"/>
        <w:tabs>
          <w:tab w:val="right" w:pos="9921" w:leader="dot"/>
        </w:tabs>
        <w:rPr>
          <w:rStyle w:val="Style17"/>
        </w:rPr>
      </w:pPr>
      <w:hyperlink w:anchor="__RefHeading__5957_678713871">
        <w:r>
          <w:rPr>
            <w:rStyle w:val="Style17"/>
          </w:rPr>
          <w:t>2.Описание бланков ЕГЭ</w:t>
          <w:tab/>
          <w:t>6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59_678713871">
        <w:r>
          <w:rPr>
            <w:rStyle w:val="Style17"/>
          </w:rPr>
          <w:t>Бланк регистрации</w:t>
          <w:tab/>
          <w:t>6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61_678713871">
        <w:r>
          <w:rPr>
            <w:rStyle w:val="Style17"/>
          </w:rPr>
          <w:t>Бланк ответов № 1</w:t>
          <w:tab/>
          <w:t>7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63_678713871">
        <w:r>
          <w:rPr>
            <w:rStyle w:val="Style17"/>
          </w:rPr>
          <w:t>Бланк ответов № 2</w:t>
          <w:tab/>
          <w:t>7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65_678713871">
        <w:r>
          <w:rPr>
            <w:rStyle w:val="Style17"/>
          </w:rPr>
          <w:t>Дополнительный бланк ответов № 2</w:t>
          <w:tab/>
          <w:t>8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67_678713871">
        <w:r>
          <w:rPr>
            <w:rStyle w:val="Style17"/>
          </w:rPr>
          <w:t>Бланк регистрации устного экзамена</w:t>
          <w:tab/>
          <w:t>9</w:t>
        </w:r>
      </w:hyperlink>
    </w:p>
    <w:p>
      <w:pPr>
        <w:pStyle w:val="12"/>
        <w:tabs>
          <w:tab w:val="right" w:pos="9921" w:leader="dot"/>
        </w:tabs>
        <w:rPr>
          <w:rStyle w:val="Style17"/>
        </w:rPr>
      </w:pPr>
      <w:hyperlink w:anchor="__RefHeading__5969_678713871">
        <w:r>
          <w:rPr>
            <w:rStyle w:val="Style17"/>
          </w:rPr>
          <w:t>3.Правила заполнения бланков ЕГЭ</w:t>
          <w:tab/>
          <w:t>11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71_678713871">
        <w:r>
          <w:rPr>
            <w:rStyle w:val="Style17"/>
          </w:rPr>
          <w:t>Общая часть</w:t>
          <w:tab/>
          <w:t>11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73_678713871">
        <w:r>
          <w:rPr>
            <w:rStyle w:val="Style17"/>
          </w:rPr>
          <w:t>Основные правила заполнения бланков ЕГЭ</w:t>
          <w:tab/>
          <w:t>11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75_678713871">
        <w:r>
          <w:rPr>
            <w:rStyle w:val="Style17"/>
          </w:rPr>
          <w:t>Заполнение бланка регистрации (рис. 1)</w:t>
          <w:tab/>
          <w:t>11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77_678713871">
        <w:r>
          <w:rPr>
            <w:rStyle w:val="Style17"/>
          </w:rPr>
          <w:t>Заполнение бланка ответов № 1 (рис. 6)</w:t>
          <w:tab/>
          <w:t>16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79_678713871">
        <w:r>
          <w:rPr>
            <w:rStyle w:val="Style17"/>
          </w:rPr>
          <w:t>Заполнение бланка ответов № 2 (рис. 9, 10)</w:t>
          <w:tab/>
          <w:t>17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81_678713871">
        <w:r>
          <w:rPr>
            <w:rStyle w:val="Style17"/>
          </w:rPr>
          <w:t>Заполнение дополнительного бланка ответов № 2 (рис. 11, 12)</w:t>
          <w:tab/>
          <w:t>17</w:t>
        </w:r>
      </w:hyperlink>
    </w:p>
    <w:p>
      <w:pPr>
        <w:pStyle w:val="23"/>
        <w:tabs>
          <w:tab w:val="right" w:pos="9921" w:leader="dot"/>
        </w:tabs>
        <w:rPr>
          <w:rStyle w:val="Style17"/>
        </w:rPr>
      </w:pPr>
      <w:hyperlink w:anchor="__RefHeading__5983_678713871">
        <w:r>
          <w:rPr>
            <w:rStyle w:val="Style17"/>
          </w:rPr>
          <w:t>Заполнение бланка регистрации устного экзамена (рис. 13)</w:t>
          <w:tab/>
          <w:t>19</w:t>
        </w:r>
      </w:hyperlink>
    </w:p>
    <w:p>
      <w:pPr>
        <w:pStyle w:val="12"/>
        <w:tabs>
          <w:tab w:val="right" w:pos="9921" w:leader="dot"/>
        </w:tabs>
        <w:rPr>
          <w:rStyle w:val="Style17"/>
        </w:rPr>
      </w:pPr>
      <w:hyperlink w:anchor="__RefHeading__5985_678713871">
        <w:r>
          <w:rPr>
            <w:rStyle w:val="Style17"/>
          </w:rPr>
          <w:t>Приложение 1. Примерный перечень часто используемых при проведении ЕГЭ документов, удостоверяющих личность</w:t>
          <w:tab/>
          <w:t>19</w:t>
        </w:r>
      </w:hyperlink>
      <w:r>
        <w:fldChar w:fldCharType="end"/>
      </w:r>
    </w:p>
    <w:p>
      <w:pPr>
        <w:pStyle w:val="Normal"/>
        <w:spacing w:lineRule="auto" w:line="240"/>
        <w:ind w:left="0" w:right="0" w:hanging="0"/>
        <w:rPr>
          <w:rFonts w:cs="Times New Roman" w:ascii="Times New Roman" w:hAnsi="Times New Roman"/>
          <w:b w:val="false"/>
          <w:vanish/>
          <w:sz w:val="26"/>
          <w:szCs w:val="26"/>
        </w:rPr>
      </w:pPr>
      <w:hyperlink w:anchor="_Toc439067119">
        <w:r>
          <w:rPr>
            <w:rFonts w:cs="Times New Roman" w:ascii="Times New Roman" w:hAnsi="Times New Roman"/>
            <w:b w:val="false"/>
            <w:vanish/>
            <w:sz w:val="26"/>
            <w:szCs w:val="26"/>
          </w:rPr>
          <w:t xml:space="preserve"> </w:t>
        </w:r>
      </w:hyperlink>
    </w:p>
    <w:p>
      <w:pPr>
        <w:pStyle w:val="NoSpacing"/>
        <w:pageBreakBefore/>
        <w:spacing w:before="0" w:after="240"/>
        <w:jc w:val="center"/>
        <w:rPr>
          <w:rFonts w:eastAsia="Times New Roman" w:cs="Times New Roman" w:ascii="Times New Roman" w:hAnsi="Times New Roman"/>
          <w:b/>
          <w:sz w:val="32"/>
          <w:szCs w:val="32"/>
        </w:rPr>
      </w:pPr>
      <w:r>
        <w:rPr>
          <w:rFonts w:eastAsia="Times New Roman" w:cs="Times New Roman" w:ascii="Times New Roman" w:hAnsi="Times New Roman"/>
          <w:b/>
          <w:sz w:val="32"/>
          <w:szCs w:val="32"/>
        </w:rPr>
        <w:t>Перечень условных обозначений и сокращений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Выпускники прошлых лет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Лица, </w:t>
      </w: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освоившие образовательные программы среднего общего образования</w:t>
      </w:r>
      <w:r>
        <w:rPr>
          <w:rFonts w:eastAsia="Times New Roman" w:cs="Times New Roman" w:ascii="Times New Roman" w:hAnsi="Times New Roman"/>
          <w:sz w:val="26"/>
          <w:szCs w:val="26"/>
        </w:rPr>
        <w:t xml:space="preserve"> в предыдущие годы и имеющие документ об образовании,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 об образовании, подтверждающий получение среднего (полного) общего образования, до 1 сентября 2013 года);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граждане, имеющие среднее общее образование, полученное в иностранных образовательных организациях;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выпускники прошлых лет-военнослужащие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ГИА</w:t>
      </w:r>
    </w:p>
    <w:p>
      <w:pPr>
        <w:pStyle w:val="Normal"/>
        <w:spacing w:lineRule="auto" w:line="240" w:before="0" w:after="0"/>
        <w:ind w:left="0" w:right="0" w:firstLine="31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Государственная итоговая аттестация по образовательным программам среднего общего образования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ЕГЭ</w:t>
      </w:r>
    </w:p>
    <w:p>
      <w:pPr>
        <w:pStyle w:val="Normal"/>
        <w:spacing w:lineRule="auto" w:line="240" w:before="0" w:after="0"/>
        <w:ind w:left="0" w:right="0" w:firstLine="31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 xml:space="preserve">Единый государственный экзамен 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КИМ</w:t>
      </w:r>
    </w:p>
    <w:p>
      <w:pPr>
        <w:pStyle w:val="Normal"/>
        <w:spacing w:lineRule="auto" w:line="240" w:before="0" w:after="0"/>
        <w:ind w:left="0" w:right="0" w:firstLine="31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 xml:space="preserve">Контрольные измерительные материалы 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Обучающиеся</w:t>
      </w:r>
    </w:p>
    <w:p>
      <w:pPr>
        <w:pStyle w:val="Normal"/>
        <w:tabs>
          <w:tab w:val="left" w:pos="458" w:leader="none"/>
        </w:tabs>
        <w:spacing w:lineRule="auto" w:line="240" w:before="0" w:after="0"/>
        <w:ind w:left="0" w:right="0" w:firstLine="33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 xml:space="preserve">Обучающиеся, не имеющие академической задолженности, в том числе за итоговое сочинение (изложение), и в полном объеме выполнившие учебный план или индивидуальный учебный план (имеющие </w:t>
      </w:r>
      <w:r>
        <w:rPr>
          <w:rFonts w:eastAsia="Times New Roman" w:cs="Times New Roman" w:ascii="Times New Roman" w:hAnsi="Times New Roman"/>
          <w:sz w:val="26"/>
          <w:szCs w:val="26"/>
        </w:rPr>
        <w:t>годовые отметки по всем учебным предметам учебного плана за каждый год обучения по образовательной программе среднего общего образования не ниже удовлетворительных);</w:t>
      </w:r>
    </w:p>
    <w:p>
      <w:pPr>
        <w:pStyle w:val="Normal"/>
        <w:tabs>
          <w:tab w:val="left" w:pos="458" w:leader="none"/>
        </w:tabs>
        <w:spacing w:lineRule="auto" w:line="240" w:before="0" w:after="0"/>
        <w:ind w:left="0" w:right="0" w:firstLine="33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обучающиеся X - XI (XII) классов, допущенные к ГИА по учебным предметам, освоение которых завершилось ранее, имеющие годовые отметки не ниже удовлетворительных по всем учебным предметам учебного плана за предпоследний год обучения;</w:t>
      </w:r>
    </w:p>
    <w:p>
      <w:pPr>
        <w:pStyle w:val="Normal"/>
        <w:tabs>
          <w:tab w:val="left" w:pos="458" w:leader="none"/>
        </w:tabs>
        <w:spacing w:lineRule="auto" w:line="240" w:before="0" w:after="0"/>
        <w:ind w:left="0" w:right="0" w:firstLine="33"/>
        <w:jc w:val="both"/>
        <w:rPr>
          <w:rFonts w:eastAsia="Times New Roman" w:cs="Times New Roman" w:ascii="Times New Roman" w:hAnsi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обучающиеся</w:t>
      </w: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, освоившие образовательные программы среднего общего образования в форме самообразования или семейного образования;</w:t>
      </w:r>
    </w:p>
    <w:p>
      <w:pPr>
        <w:pStyle w:val="Normal"/>
        <w:tabs>
          <w:tab w:val="left" w:pos="458" w:leader="none"/>
        </w:tabs>
        <w:spacing w:lineRule="auto" w:line="240" w:before="0" w:after="0"/>
        <w:ind w:left="0" w:right="0" w:firstLine="33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обучающиеся по образовательным программам среднего профессионального образования;</w:t>
      </w:r>
    </w:p>
    <w:p>
      <w:pPr>
        <w:pStyle w:val="Normal"/>
        <w:tabs>
          <w:tab w:val="left" w:pos="458" w:leader="none"/>
        </w:tabs>
        <w:spacing w:lineRule="auto" w:line="240" w:before="0" w:after="0"/>
        <w:ind w:left="0" w:right="0" w:firstLine="33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обучающиеся, получающие среднее общее образование в иностранных образовательных организациях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>ППЭ</w:t>
      </w:r>
    </w:p>
    <w:p>
      <w:pPr>
        <w:pStyle w:val="Normal"/>
        <w:spacing w:lineRule="auto" w:line="240" w:before="0" w:after="0"/>
        <w:ind w:left="0" w:right="0" w:firstLine="31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Пункт проведения экзаменов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color w:val="000000"/>
          <w:sz w:val="26"/>
          <w:szCs w:val="26"/>
        </w:rPr>
        <w:t xml:space="preserve">Участники ЕГЭ </w:t>
      </w:r>
    </w:p>
    <w:p>
      <w:pPr>
        <w:pStyle w:val="Normal"/>
        <w:spacing w:lineRule="auto" w:line="240" w:before="0" w:after="0"/>
        <w:ind w:left="0" w:right="0" w:firstLine="31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Обучающиеся, допущенные в установленном порядке к ГИА;</w:t>
      </w:r>
    </w:p>
    <w:p>
      <w:pPr>
        <w:pStyle w:val="Normal"/>
        <w:spacing w:lineRule="auto" w:line="240" w:before="0" w:after="0"/>
        <w:ind w:left="0" w:right="0" w:firstLine="31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 xml:space="preserve"> </w:t>
      </w: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выпускники прошлых лет и другие категории лиц, определенные Порядком,  допущенные к сдаче ЕГЭ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Участники ЕГЭ с ОВЗ, дети-инвалиды и инвалиды</w:t>
      </w:r>
    </w:p>
    <w:p>
      <w:pPr>
        <w:pStyle w:val="Normal"/>
        <w:spacing w:lineRule="auto" w:line="240" w:before="0" w:after="0"/>
        <w:ind w:left="0" w:right="0" w:firstLine="31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Обучающиеся, выпускники прошлых лет с ограниченными возможностями здоровья, дети-инвалиды и инвалиды</w:t>
      </w:r>
    </w:p>
    <w:p>
      <w:pPr>
        <w:pStyle w:val="Normal"/>
        <w:spacing w:lineRule="auto" w:line="240" w:before="0" w:after="0"/>
        <w:ind w:left="0" w:right="0" w:hanging="0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ЭМ</w:t>
      </w:r>
    </w:p>
    <w:p>
      <w:pPr>
        <w:pStyle w:val="Normal"/>
        <w:spacing w:lineRule="auto" w:line="240" w:before="0" w:after="0"/>
        <w:ind w:left="0" w:right="0" w:firstLine="31"/>
        <w:jc w:val="both"/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</w:pPr>
      <w:r>
        <w:rPr>
          <w:rFonts w:eastAsia="Times New Roman" w:cs="Times New Roman" w:ascii="Times New Roman" w:hAnsi="Times New Roman"/>
          <w:iCs/>
          <w:color w:val="000000"/>
          <w:sz w:val="26"/>
          <w:szCs w:val="26"/>
        </w:rPr>
        <w:t>Экзаменационные материалы ЕГЭ</w:t>
      </w:r>
    </w:p>
    <w:p>
      <w:pPr>
        <w:pStyle w:val="1"/>
        <w:numPr>
          <w:ilvl w:val="0"/>
          <w:numId w:val="3"/>
        </w:numPr>
        <w:rPr>
          <w:rFonts w:cs=""/>
        </w:rPr>
      </w:pPr>
      <w:bookmarkStart w:id="3" w:name="__RefHeading__5955_678713871"/>
      <w:bookmarkStart w:id="4" w:name="_Toc439067119"/>
      <w:bookmarkStart w:id="5" w:name="_Toc439067118"/>
      <w:bookmarkStart w:id="6" w:name="_Toc439067117"/>
      <w:bookmarkStart w:id="7" w:name="_Toc439059843"/>
      <w:bookmarkEnd w:id="3"/>
      <w:bookmarkEnd w:id="5"/>
      <w:bookmarkEnd w:id="6"/>
      <w:bookmarkEnd w:id="7"/>
      <w:bookmarkEnd w:id="4"/>
      <w:r>
        <w:rPr>
          <w:rFonts w:cs=""/>
        </w:rPr>
        <w:t>Введение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Настоящие правила предназначены для участников ЕГЭ, а также для организаторов ППЭ, осуществляющих инструктаж участников ЕГЭ в день проведения ЕГЭ. В целях обеспечения единых условий для всех участников ЕГЭ при проведении и обработке результатов ЕГЭ используются унифицированные ЭМ, которые состоят из КИМ и бланков ЕГЭ: бланков регистрации, бланков ответов № 1, предназначенных для внесения кратких ответов, бланков ответов № 2, предназначенных для внесения развернутых ответов, бланков регистрации устного экзамена. 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средств преобразуется в текст.</w:t>
      </w:r>
    </w:p>
    <w:p>
      <w:pPr>
        <w:pStyle w:val="Normal"/>
        <w:spacing w:lineRule="auto" w:line="240"/>
        <w:ind w:left="0" w:right="0" w:hanging="0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1"/>
        <w:pageBreakBefore/>
        <w:numPr>
          <w:ilvl w:val="0"/>
          <w:numId w:val="3"/>
        </w:numPr>
        <w:rPr/>
      </w:pPr>
      <w:bookmarkStart w:id="8" w:name="__RefHeading__5957_678713871"/>
      <w:bookmarkStart w:id="9" w:name="_Toc439067120"/>
      <w:bookmarkEnd w:id="8"/>
      <w:r>
        <w:rPr/>
        <w:t>Описание бланков ЕГЭ</w:t>
      </w:r>
      <w:bookmarkEnd w:id="9"/>
      <w:r>
        <w:rPr/>
        <w:t xml:space="preserve"> </w:t>
      </w:r>
    </w:p>
    <w:p>
      <w:pPr>
        <w:pStyle w:val="2"/>
        <w:rPr/>
      </w:pPr>
      <w:bookmarkStart w:id="10" w:name="__RefHeading__5959_678713871"/>
      <w:bookmarkStart w:id="11" w:name="_Toc439067121"/>
      <w:bookmarkEnd w:id="10"/>
      <w:bookmarkEnd w:id="11"/>
      <w:r>
        <w:rPr/>
        <w:t>Бланк регистрации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 регистрации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. Фон бланка – оранжевый цвет (Pantone 165 CVU).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машиночитаемой формой и состоит из трёх частей – верхней, средней и нижней.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верхней части бланка регистрации расположено 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способом). Также в верхней части бланка регистрации расположены вертикальный штрихкод, горизонтальный штрихкод и его цифровое значение, образец написания символов при заполнении бланка, поля для указания следующей информации: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 ЕГЭ - иные категории лиц, определенные Порядком,  получили уведомление о регистрации на ЕГЭ);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номер и буква класса (участником ЕГЭ – выпускником прошлых лет/обучающимся СПО не заполняется);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пункта проведения ЕГЭ;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номер аудитории в ППЭ;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дата проведения ЕГЭ;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образец написания символов при заполнении бланка регистрации.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регистрации указываются следующие сведения об участнике ЕГЭ: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фамилия, имя, отчество (при наличии);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серия и номер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 участника ЕГЭ.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средней части бланка регистрации также расположены: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краткая инструкция по определению целостности индивидуального комплекта участника ЕГЭ;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подписи участника ЕГЭ.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 в аудитории ППЭ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>
      <w:pPr>
        <w:pStyle w:val="2"/>
        <w:rPr/>
      </w:pPr>
      <w:bookmarkStart w:id="12" w:name="__RefHeading__5961_678713871"/>
      <w:bookmarkStart w:id="13" w:name="_Toc439067122"/>
      <w:bookmarkEnd w:id="12"/>
      <w:bookmarkEnd w:id="13"/>
      <w:r>
        <w:rPr/>
        <w:t>Бланк ответов № 1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 ответов № 1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 xml:space="preserve">. Фон бланка – малиновый цвет (Pantone 184 CVU).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машиночитаемой формой и состоит из трех частей – верхней, средней и нижней.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бланка ответов № 1 расположены: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вертикальный и горизонтальный штрихкоды и их цифровые значения;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образец написания символов при заполнении бланка.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Поля для указания следующей информации: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подписи участника ЕГЭ;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поле для служебного использования («Резерв-5»).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ответов № 1 расположены поля для записи результатов выполнения заданий с кратким ответом (слово или число). Максимальное количество кратких ответов – 40. Максимальное количество символов в одном ответе – 17.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нижней части бланка ответов № 1 предусмотрены поля для замены ошибочных ответов на задания с кратким ответом. Максимальное количество полей для замен ошибочных ответов – 10.</w:t>
      </w:r>
    </w:p>
    <w:p>
      <w:pPr>
        <w:pStyle w:val="2"/>
        <w:spacing w:before="0" w:after="0"/>
        <w:contextualSpacing/>
        <w:rPr/>
      </w:pPr>
      <w:bookmarkStart w:id="14" w:name="__RefHeading__5963_678713871"/>
      <w:bookmarkStart w:id="15" w:name="_Toc439067123"/>
      <w:bookmarkEnd w:id="14"/>
      <w:bookmarkEnd w:id="15"/>
      <w:r>
        <w:rPr/>
        <w:t>Бланк ответов № 2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 ответов № 2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. Фон бланка – персиковый цвет (Pantone 164 CVU).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двусторонней машиночитаемой формой и состоит из двух частей – верхней и нижней.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лицевой стороны бланка ответов № 2 расположены: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вертикальный и горизонтальный штрихкоды и их цифровые значения.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Поля для указания следующей информации: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записи цифрового значения штрихкода дополнительного бланка ответов № 2;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нумерации листов бланков ответов № 2;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служебного использования («Резерв-6»).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ответов на задания с развернутым ответом располагается в нижней части бланка ответов № 2, а также на обратной стороне бланка и разлиновано пунктирными линиями «в клеточку».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>
      <w:pPr>
        <w:pStyle w:val="2"/>
        <w:ind w:left="576" w:right="0" w:hanging="0"/>
        <w:rPr/>
      </w:pPr>
      <w:bookmarkStart w:id="16" w:name="__RefHeading__5965_678713871"/>
      <w:bookmarkStart w:id="17" w:name="_Toc439067124"/>
      <w:bookmarkEnd w:id="16"/>
      <w:bookmarkEnd w:id="17"/>
      <w:r>
        <w:rPr/>
        <w:t>Дополнительный бланк ответов № 2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Дополнительный бланк ответов № 2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. Фон бланка – малиновый цвет (Pantone 165 CVU).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двусторонней машиночитаемой формой и состоит из двух частей – верхней и нижней.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лицевой стороны дополнительного бланка ответов № 2 расположены: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вертикальный и горизонтальный штрихкоды и их цифровые значения.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 xml:space="preserve">Поля для указания следующей информации: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поле для записи цифрового значения штрихкода следующего дополнительного бланка ответов № 2;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поле для нумерации листов бланков ответов № 2;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поле для служебного использования («Резерв-7»).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ответов на задания с развернутым ответом располагается в нижней части дополнительного бланка ответов № 2, а также на обратной стороне бланка и разлиновано пунктирными линиями «в клеточку».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оборотной стороны бланка расположены два горизонтальных штрихкода.</w:t>
      </w:r>
    </w:p>
    <w:p>
      <w:pPr>
        <w:pStyle w:val="2"/>
        <w:rPr/>
      </w:pPr>
      <w:bookmarkStart w:id="18" w:name="__RefHeading__5967_678713871"/>
      <w:bookmarkStart w:id="19" w:name="_Toc439067125"/>
      <w:bookmarkEnd w:id="18"/>
      <w:bookmarkEnd w:id="19"/>
      <w:r>
        <w:rPr/>
        <w:t>Бланк регистрации устного экзамена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Бланк регистрации устного экзамена размером 210 мм × 297 мм печатается на белой бумаге плотностью ~ 80 г/м</w:t>
      </w:r>
      <w:r>
        <w:rPr>
          <w:rFonts w:cs="Times New Roman" w:ascii="Times New Roman" w:hAnsi="Times New Roman"/>
          <w:sz w:val="26"/>
          <w:szCs w:val="26"/>
          <w:vertAlign w:val="superscript"/>
        </w:rPr>
        <w:t>2</w:t>
      </w:r>
      <w:r>
        <w:rPr>
          <w:rFonts w:cs="Times New Roman" w:ascii="Times New Roman" w:hAnsi="Times New Roman"/>
          <w:sz w:val="26"/>
          <w:szCs w:val="26"/>
        </w:rPr>
        <w:t>. Фон бланка – малиновый цвет  (Pantone 184 CVU).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является машиночитаемой формой и состоит из трех частей – верхней, средней и нижней.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бланка регистрации устного экзамена расположены: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специальное поле (после слов «Единый государственный экзамен»), в котором указывается год проведения экзамена (данное поле заполняется типографским способом);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  <w:r>
        <w:rPr>
          <w:rFonts w:cs="Times New Roman" w:ascii="Times New Roman" w:hAnsi="Times New Roman"/>
          <w:sz w:val="26"/>
          <w:szCs w:val="26"/>
        </w:rPr>
        <w:t>вертикальный и горизонтальный штрихкоды и их цифровые значения;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образец написания символов при заполнении бланка регистрации устного экзамена.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Поля для указания следующей информации: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региона;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образовательной организации, в которой обучается участник ЕГЭ – выпускник текущего года (код образовательной организации, в которой участник ЕГЭ - выпускник прошлых лет/обучающийся СПО получил уведомление (пропуск) на ЕГЭ);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номер и буква класса (участником ЕГЭ – выпускником прошлых лет/ обучающимся СПО не заполняется);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пункта проведения ЕГЭ;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номер аудитории в ППЭ;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дата проведения ЕГЭ;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код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название предмета;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регистрации устного экзамена указываются следующие сведения об участнике ЕГЭ: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фамилия, имя, отчество (при наличии);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серия и номер документа, удостоверяющего личность (Приложение 1);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 участника ЕГЭ.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регистрации устного экзамена также расположены: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поля для служебного использования (поля «Резерв-2», «Резерв-3»,              «Резерв-4»);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краткая инструкция по определению целостности индивидуального комплекта участника ЕГЭ;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для подписи участника ЕГЭ.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нижней части бланка регистрации устного экзамена расположены поля, заполняемые ответственным организатором в аудитории в случаях, если участник ЕГЭ удален с экзамена в связи с нарушением порядка проведения ЕГЭ или не закончил экзамен по уважительной причине, а также поле для подписи ответственного организатора.</w:t>
      </w:r>
    </w:p>
    <w:p>
      <w:pPr>
        <w:pStyle w:val="1"/>
        <w:pageBreakBefore/>
        <w:numPr>
          <w:ilvl w:val="0"/>
          <w:numId w:val="3"/>
        </w:numPr>
        <w:rPr>
          <w:rFonts w:cs=""/>
        </w:rPr>
      </w:pPr>
      <w:bookmarkStart w:id="20" w:name="__RefHeading__5969_678713871"/>
      <w:bookmarkStart w:id="21" w:name="_Toc439067126"/>
      <w:bookmarkEnd w:id="20"/>
      <w:bookmarkEnd w:id="21"/>
      <w:r>
        <w:rPr>
          <w:rFonts w:cs=""/>
        </w:rPr>
        <w:t>Правила заполнения бланков ЕГЭ</w:t>
      </w:r>
    </w:p>
    <w:p>
      <w:pPr>
        <w:pStyle w:val="2"/>
        <w:rPr/>
      </w:pPr>
      <w:bookmarkStart w:id="22" w:name="__RefHeading__5971_678713871"/>
      <w:bookmarkStart w:id="23" w:name="_Toc439067127"/>
      <w:bookmarkEnd w:id="22"/>
      <w:bookmarkEnd w:id="23"/>
      <w:r>
        <w:rPr/>
        <w:t>Общая часть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Участники ЕГЭ выполняют экзаменационные работы на бланках ЕГЭ, формы и описание правил заполнения которых приведены ниже.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При заполнении бланков ЕГЭ необходимо точно соблюдать настоящие правила, так как информация, внесенная в бланки, сканируется и обрабатывается с использованием специальных аппаратно-программных средств.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недостатке места для записи ответов на задания с развернутым ответом на бланке ответов № 2 (включая обратную сторону бланка) организатор в аудитории выдает д</w:t>
      </w:r>
      <w:hyperlink r:id="rId3">
        <w:r>
          <w:rPr>
            <w:rStyle w:val="Style9"/>
            <w:rFonts w:cs="Times New Roman" w:ascii="Times New Roman" w:hAnsi="Times New Roman"/>
            <w:sz w:val="26"/>
            <w:szCs w:val="26"/>
          </w:rPr>
          <w:t>ополнительный бланк ответов № 2</w:t>
        </w:r>
      </w:hyperlink>
      <w:r>
        <w:rPr>
          <w:rFonts w:cs="Times New Roman" w:ascii="Times New Roman" w:hAnsi="Times New Roman"/>
          <w:sz w:val="26"/>
          <w:szCs w:val="26"/>
        </w:rPr>
        <w:t xml:space="preserve">. Дополнительные бланки ответов № 2 не принимаются к оцениванию, если хотя бы одна из сторон предыдущих бланков ответов № 2 не заполнена. </w:t>
      </w:r>
    </w:p>
    <w:p>
      <w:pPr>
        <w:pStyle w:val="2"/>
        <w:rPr/>
      </w:pPr>
      <w:bookmarkStart w:id="24" w:name="__RefHeading__5973_678713871"/>
      <w:bookmarkStart w:id="25" w:name="_Toc439067128"/>
      <w:bookmarkEnd w:id="24"/>
      <w:bookmarkEnd w:id="25"/>
      <w:r>
        <w:rPr/>
        <w:t>Основные правила заполнения бланков ЕГЭ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Все бланки ЕГЭ заполняются гелевой или капиллярной ручкой черного цвета. 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Символ метки («крестик») в полях бланка регистрации не должен быть слишком толстым. Если ручка оставляет слишком толстую линию, то вместо крестика в поле нужно провести только одну диагональ квадрата (любую).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Участник ЕГЭ должен изображать каждую цифру и букву во всех заполняемых полях бланка регистрации, бланка ответов № 1 и верхней части бланка ответов № 2, тщательно копируя образец ее написания из строки с 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Каждое поле в бланках заполняется, начиная с первой позиции (в том числе и поля для занесения фамилии, имени и отчества участника ЕГЭ).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участник ЕГЭ не имеет информации для заполнения какого-то конкретного поля, он должен оставить это поле пустым (не делать прочерков).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На бланках ответов № 1 и № 2, а также на дополнительном бланке ответов</w:t>
        <w:br/>
        <w:t>№ 2 не должно быть пометок, содержащих информацию о личности участника ЕГЭ.</w:t>
      </w:r>
    </w:p>
    <w:p>
      <w:pPr>
        <w:pStyle w:val="Normal"/>
        <w:spacing w:lineRule="auto" w:line="240" w:before="240" w:after="0"/>
        <w:contextualSpacing/>
        <w:rPr>
          <w:rFonts w:cs="Times New Roman" w:ascii="Times New Roman" w:hAnsi="Times New Roman"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</w:r>
    </w:p>
    <w:p>
      <w:pPr>
        <w:pStyle w:val="Normal"/>
        <w:spacing w:lineRule="auto" w:line="240" w:before="240" w:after="0"/>
        <w:contextualSpacing/>
        <w:rPr>
          <w:rFonts w:cs="Times New Roman" w:ascii="Times New Roman" w:hAnsi="Times New Roman"/>
          <w:b/>
          <w:sz w:val="26"/>
          <w:szCs w:val="26"/>
        </w:rPr>
      </w:pPr>
      <w:r>
        <w:rPr>
          <w:rFonts w:cs="Times New Roman" w:ascii="Times New Roman" w:hAnsi="Times New Roman"/>
          <w:b/>
          <w:sz w:val="26"/>
          <w:szCs w:val="26"/>
        </w:rPr>
        <w:t>Категорически запрещается: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использовать для заполнения бланков ЕГЭ цветные ручки вместо черной,  карандаш, средства для исправления внесенной в бланки ЕГЭ информации («замазку», «ластик» и др.). </w:t>
      </w:r>
    </w:p>
    <w:p>
      <w:pPr>
        <w:pStyle w:val="2"/>
        <w:rPr/>
      </w:pPr>
      <w:bookmarkStart w:id="26" w:name="__RefHeading__5975_678713871"/>
      <w:bookmarkStart w:id="27" w:name="_Toc361838907"/>
      <w:bookmarkStart w:id="28" w:name="_Toc439067129"/>
      <w:bookmarkStart w:id="29" w:name="_Заполнение_бланка_регистрации"/>
      <w:bookmarkEnd w:id="26"/>
      <w:bookmarkEnd w:id="27"/>
      <w:bookmarkEnd w:id="29"/>
      <w:bookmarkEnd w:id="28"/>
      <w:r>
        <w:rPr/>
        <w:t>Заполнение бланка регистрации (рис. 1)</w:t>
      </w:r>
    </w:p>
    <w:p>
      <w:pPr>
        <w:pStyle w:val="3"/>
        <w:rPr/>
      </w:pPr>
      <w:r>
        <w:rPr/>
        <w:drawing>
          <wp:inline distT="0" distB="0" distL="0" distR="0">
            <wp:extent cx="6066790" cy="8581390"/>
            <wp:effectExtent l="0" t="0" r="0" b="0"/>
            <wp:docPr id="0" name="Picture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6790" cy="858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ind w:left="0" w:right="0" w:hanging="0"/>
        <w:jc w:val="center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 xml:space="preserve">Рис. 1. </w:t>
      </w:r>
      <w:r>
        <w:rPr>
          <w:rFonts w:cs="Times New Roman" w:ascii="Times New Roman" w:hAnsi="Times New Roman"/>
          <w:sz w:val="26"/>
          <w:szCs w:val="26"/>
        </w:rPr>
        <w:t>Бланк регистрации</w:t>
      </w:r>
    </w:p>
    <w:p>
      <w:pPr>
        <w:pStyle w:val="Normal"/>
        <w:widowControl w:val="false"/>
        <w:spacing w:lineRule="auto" w:line="240"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 указанию ответственного организатора в аудитории участники ЕГЭ приступают к заполнению верхней части бланки регистрации (рис. 2). Участником ЕГЭ заполняются все поля верхней части бланка регистрации (см. Таблицу 1), кроме полей для служебного использования (поля «Служебная отметка»,</w:t>
        <w:br/>
        <w:t>«Резерв-1»).</w:t>
      </w:r>
    </w:p>
    <w:p>
      <w:pPr>
        <w:pStyle w:val="Normal"/>
        <w:widowControl w:val="false"/>
        <w:spacing w:lineRule="auto" w:line="240"/>
        <w:ind w:left="0" w:right="0" w:hanging="142"/>
        <w:rPr/>
      </w:pPr>
      <w:r>
        <w:rPr/>
        <w:drawing>
          <wp:inline distT="0" distB="0" distL="0" distR="0">
            <wp:extent cx="6299835" cy="2356485"/>
            <wp:effectExtent l="0" t="0" r="0" b="0"/>
            <wp:docPr id="1" name="Picture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2. Верхняя часть бланка регистрации</w:t>
      </w:r>
    </w:p>
    <w:tbl>
      <w:tblPr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60" w:type="dxa"/>
          <w:left w:w="55" w:type="dxa"/>
          <w:bottom w:w="60" w:type="dxa"/>
          <w:right w:w="60" w:type="dxa"/>
        </w:tblCellMar>
      </w:tblPr>
      <w:tblGrid>
        <w:gridCol w:w="3110"/>
        <w:gridCol w:w="6738"/>
      </w:tblGrid>
      <w:tr>
        <w:trPr>
          <w:tblHeader w:val="true"/>
          <w:cantSplit w:val="false"/>
        </w:trPr>
        <w:tc>
          <w:tcPr>
            <w:tcW w:w="3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 по указанию организатора в аудитории</w:t>
            </w:r>
          </w:p>
        </w:tc>
        <w:tc>
          <w:tcPr>
            <w:tcW w:w="6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Указания по заполнению</w:t>
            </w:r>
          </w:p>
        </w:tc>
      </w:tr>
      <w:tr>
        <w:trPr>
          <w:cantSplit w:val="false"/>
        </w:trPr>
        <w:tc>
          <w:tcPr>
            <w:tcW w:w="3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Указывается код субъекта Российской Федерации в соответствии с кодировкой федерального справочника субъектов Российской Федерации </w:t>
            </w:r>
          </w:p>
        </w:tc>
      </w:tr>
      <w:tr>
        <w:trPr>
          <w:cantSplit w:val="false"/>
        </w:trPr>
        <w:tc>
          <w:tcPr>
            <w:tcW w:w="3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Указывается код образовательной организации, в котором обучается участник ЕГЭ – выпускник текущего года, в соответствии с кодировкой, принятой в субъекте Российской Федерации; код образовательной организации, в которой участник ЕГЭ - выпускник прошлых лет/обучающийся СПО получил уведомление (пропуск) на ЕГЭ)</w:t>
            </w:r>
          </w:p>
        </w:tc>
      </w:tr>
      <w:tr>
        <w:trPr>
          <w:cantSplit w:val="false"/>
        </w:trPr>
        <w:tc>
          <w:tcPr>
            <w:tcW w:w="3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Указывается информация о классе, в котором обучается участник ЕГЭ (выпускниками прошлых лет/</w:t>
            </w:r>
            <w:r>
              <w:rPr>
                <w:rFonts w:cs="Times New Roman"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обучающимися СПО не заполняется)</w:t>
            </w:r>
          </w:p>
        </w:tc>
      </w:tr>
      <w:tr>
        <w:trPr>
          <w:cantSplit w:val="false"/>
        </w:trPr>
        <w:tc>
          <w:tcPr>
            <w:tcW w:w="3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Указывается в соответствии с кодировкой ППЭ, принятой в субъекте Российской Федерации</w:t>
            </w:r>
          </w:p>
        </w:tc>
      </w:tr>
      <w:tr>
        <w:trPr>
          <w:cantSplit w:val="false"/>
        </w:trPr>
        <w:tc>
          <w:tcPr>
            <w:tcW w:w="3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Указывается номер аудитории, в которой проходит ЕГЭ</w:t>
            </w:r>
          </w:p>
        </w:tc>
      </w:tr>
      <w:tr>
        <w:trPr>
          <w:cantSplit w:val="false"/>
        </w:trPr>
        <w:tc>
          <w:tcPr>
            <w:tcW w:w="3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>
        <w:trPr>
          <w:cantSplit w:val="false"/>
        </w:trPr>
        <w:tc>
          <w:tcPr>
            <w:tcW w:w="3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Код предмета</w:t>
            </w:r>
          </w:p>
        </w:tc>
        <w:tc>
          <w:tcPr>
            <w:tcW w:w="6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Указывается код предмета в соответствии с принятой кодировкой (см. Таблицу 2)</w:t>
            </w:r>
          </w:p>
        </w:tc>
      </w:tr>
      <w:tr>
        <w:trPr>
          <w:cantSplit w:val="false"/>
        </w:trPr>
        <w:tc>
          <w:tcPr>
            <w:tcW w:w="31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Указывается название предмета по, которому проводится ЕГЭ (возможно в сокращении)</w:t>
            </w:r>
          </w:p>
        </w:tc>
      </w:tr>
    </w:tbl>
    <w:p>
      <w:pPr>
        <w:pStyle w:val="Normal"/>
        <w:widowControl w:val="false"/>
        <w:spacing w:lineRule="auto" w:line="24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p>
      <w:pPr>
        <w:pStyle w:val="Normal"/>
        <w:widowControl w:val="false"/>
        <w:spacing w:lineRule="auto" w:line="24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</w:r>
    </w:p>
    <w:tbl>
      <w:tblPr>
        <w:jc w:val="center"/>
        <w:tblInd w:w="0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60" w:type="dxa"/>
          <w:left w:w="55" w:type="dxa"/>
          <w:bottom w:w="60" w:type="dxa"/>
          <w:right w:w="60" w:type="dxa"/>
        </w:tblCellMar>
      </w:tblPr>
      <w:tblGrid>
        <w:gridCol w:w="2321"/>
        <w:gridCol w:w="3168"/>
      </w:tblGrid>
      <w:tr>
        <w:trPr>
          <w:tblHeader w:val="true"/>
          <w:trHeight w:val="32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jc w:val="center"/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>
        <w:trPr>
          <w:trHeight w:val="116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</w:t>
            </w:r>
          </w:p>
        </w:tc>
      </w:tr>
      <w:tr>
        <w:trPr>
          <w:trHeight w:val="28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2</w:t>
            </w:r>
          </w:p>
        </w:tc>
      </w:tr>
      <w:tr>
        <w:trPr>
          <w:trHeight w:val="27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22</w:t>
            </w:r>
          </w:p>
        </w:tc>
      </w:tr>
      <w:tr>
        <w:trPr>
          <w:trHeight w:val="28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3</w:t>
            </w:r>
          </w:p>
        </w:tc>
      </w:tr>
      <w:tr>
        <w:trPr>
          <w:trHeight w:val="27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4</w:t>
            </w:r>
          </w:p>
        </w:tc>
      </w:tr>
      <w:tr>
        <w:trPr>
          <w:trHeight w:val="27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Информатика и ИКТ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5</w:t>
            </w:r>
          </w:p>
        </w:tc>
      </w:tr>
      <w:tr>
        <w:trPr>
          <w:trHeight w:val="28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6</w:t>
            </w:r>
          </w:p>
        </w:tc>
      </w:tr>
      <w:tr>
        <w:trPr>
          <w:trHeight w:val="27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7</w:t>
            </w:r>
          </w:p>
        </w:tc>
      </w:tr>
      <w:tr>
        <w:trPr>
          <w:trHeight w:val="28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8</w:t>
            </w:r>
          </w:p>
        </w:tc>
      </w:tr>
      <w:tr>
        <w:trPr>
          <w:trHeight w:val="27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9</w:t>
            </w:r>
          </w:p>
        </w:tc>
      </w:tr>
      <w:tr>
        <w:trPr>
          <w:trHeight w:val="27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10</w:t>
            </w:r>
          </w:p>
        </w:tc>
      </w:tr>
      <w:tr>
        <w:trPr>
          <w:trHeight w:val="28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11</w:t>
            </w:r>
          </w:p>
        </w:tc>
      </w:tr>
      <w:tr>
        <w:trPr>
          <w:trHeight w:val="27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12</w:t>
            </w:r>
          </w:p>
        </w:tc>
      </w:tr>
      <w:tr>
        <w:trPr>
          <w:trHeight w:val="28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13</w:t>
            </w:r>
          </w:p>
        </w:tc>
      </w:tr>
      <w:tr>
        <w:trPr>
          <w:trHeight w:val="27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18</w:t>
            </w:r>
          </w:p>
        </w:tc>
      </w:tr>
      <w:tr>
        <w:trPr>
          <w:trHeight w:val="56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29</w:t>
            </w:r>
          </w:p>
        </w:tc>
      </w:tr>
      <w:tr>
        <w:trPr>
          <w:trHeight w:val="56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30</w:t>
            </w:r>
          </w:p>
        </w:tc>
      </w:tr>
      <w:tr>
        <w:trPr>
          <w:trHeight w:val="54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31</w:t>
            </w:r>
          </w:p>
        </w:tc>
      </w:tr>
      <w:tr>
        <w:trPr>
          <w:trHeight w:val="2" w:hRule="atLeast"/>
          <w:cantSplit w:val="false"/>
        </w:trPr>
        <w:tc>
          <w:tcPr>
            <w:tcW w:w="232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16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12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33</w:t>
            </w:r>
          </w:p>
        </w:tc>
      </w:tr>
    </w:tbl>
    <w:p>
      <w:pPr>
        <w:pStyle w:val="Normal"/>
        <w:widowControl w:val="false"/>
        <w:spacing w:lineRule="auto" w:line="240" w:beforeAutospacing="1" w:afterAutospacing="1"/>
        <w:contextualSpacing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Таблица 2. Название и код предметов</w:t>
      </w:r>
    </w:p>
    <w:p>
      <w:pPr>
        <w:pStyle w:val="Normal"/>
        <w:widowControl w:val="false"/>
        <w:spacing w:lineRule="auto" w:line="240" w:beforeAutospacing="1" w:afterAutospacing="1"/>
        <w:contextualSpacing/>
        <w:jc w:val="center"/>
        <w:rPr>
          <w:rFonts w:cs="Times New Roman" w:ascii="Times New Roman" w:hAnsi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</w:r>
    </w:p>
    <w:p>
      <w:pPr>
        <w:pStyle w:val="Normal"/>
        <w:widowControl w:val="false"/>
        <w:spacing w:lineRule="auto" w:line="240"/>
        <w:ind w:left="0" w:right="0" w:hanging="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/>
        <w:drawing>
          <wp:inline distT="0" distB="0" distL="0" distR="0">
            <wp:extent cx="6400800" cy="1750060"/>
            <wp:effectExtent l="0" t="0" r="0" b="0"/>
            <wp:docPr id="2" name="Picture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>
      <w:pPr>
        <w:pStyle w:val="Normal"/>
        <w:spacing w:lineRule="auto" w:line="240" w:before="240" w:after="0"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Поля средней части бланка регистрации «Сведения об участнике единого государственного экзамена» (рис. 3) заполняются участником ЕГЭ самостоятельно (см. Таблицу 3), кроме полей для служебного использования («Резерв-2»,</w:t>
        <w:br/>
        <w:t xml:space="preserve">«Резерв-3» и «Резерв-4»). </w:t>
      </w:r>
    </w:p>
    <w:tbl>
      <w:tblPr>
        <w:tblW w:w="9921" w:type="dxa"/>
        <w:jc w:val="left"/>
        <w:tblInd w:w="115" w:type="dxa"/>
        <w:tblBorders>
          <w:top w:val="single" w:sz="4" w:space="0" w:color="00000A"/>
          <w:left w:val="single" w:sz="4" w:space="0" w:color="00000A"/>
          <w:bottom w:val="single" w:sz="4" w:space="0" w:color="00000A"/>
          <w:insideH w:val="single" w:sz="4" w:space="0" w:color="00000A"/>
          <w:right w:val="single" w:sz="4" w:space="0" w:color="00000A"/>
          <w:insideV w:val="single" w:sz="4" w:space="0" w:color="00000A"/>
        </w:tblBorders>
        <w:tblCellMar>
          <w:top w:w="60" w:type="dxa"/>
          <w:left w:w="55" w:type="dxa"/>
          <w:bottom w:w="60" w:type="dxa"/>
          <w:right w:w="60" w:type="dxa"/>
        </w:tblCellMar>
      </w:tblPr>
      <w:tblGrid>
        <w:gridCol w:w="3572"/>
        <w:gridCol w:w="6348"/>
      </w:tblGrid>
      <w:tr>
        <w:trPr>
          <w:tblHeader w:val="true"/>
          <w:cantSplit w:val="false"/>
        </w:trPr>
        <w:tc>
          <w:tcPr>
            <w:tcW w:w="3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6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jc w:val="center"/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0"/>
                <w:sz w:val="26"/>
                <w:szCs w:val="26"/>
              </w:rPr>
              <w:t>Указания по заполнению</w:t>
            </w:r>
          </w:p>
        </w:tc>
      </w:tr>
      <w:tr>
        <w:trPr>
          <w:cantSplit w:val="false"/>
        </w:trPr>
        <w:tc>
          <w:tcPr>
            <w:tcW w:w="3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634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Вносится информация из документа, удостоверяющего личность участника ЕГЭ </w:t>
            </w:r>
          </w:p>
        </w:tc>
      </w:tr>
      <w:tr>
        <w:trPr>
          <w:cantSplit w:val="false"/>
        </w:trPr>
        <w:tc>
          <w:tcPr>
            <w:tcW w:w="3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634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>
          <w:cantSplit w:val="false"/>
        </w:trPr>
        <w:tc>
          <w:tcPr>
            <w:tcW w:w="3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6348" w:type="dxa"/>
            <w:vMerge w:val="continue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r>
          </w:p>
        </w:tc>
      </w:tr>
      <w:tr>
        <w:trPr>
          <w:cantSplit w:val="false"/>
        </w:trPr>
        <w:tc>
          <w:tcPr>
            <w:tcW w:w="3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6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>
        <w:trPr>
          <w:cantSplit w:val="false"/>
        </w:trPr>
        <w:tc>
          <w:tcPr>
            <w:tcW w:w="3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6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>
              <w:rPr>
                <w:rFonts w:eastAsia="Times New Roman" w:cs="Times New Roman" w:ascii="Times New Roman" w:hAnsi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>
        <w:trPr>
          <w:cantSplit w:val="false"/>
        </w:trPr>
        <w:tc>
          <w:tcPr>
            <w:tcW w:w="3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6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rPr>
                <w:rFonts w:eastAsia="Times New Roman" w:cs="Times New Roman" w:ascii="Times New Roman" w:hAnsi="Times New Roman"/>
                <w:i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>
              <w:rPr>
                <w:rFonts w:eastAsia="Times New Roman" w:cs="Times New Roman" w:ascii="Times New Roman" w:hAnsi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>
        <w:trPr>
          <w:cantSplit w:val="false"/>
        </w:trPr>
        <w:tc>
          <w:tcPr>
            <w:tcW w:w="35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Пол (Ж или М)</w:t>
            </w:r>
          </w:p>
        </w:tc>
        <w:tc>
          <w:tcPr>
            <w:tcW w:w="634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insideH w:val="single" w:sz="4" w:space="0" w:color="00000A"/>
              <w:right w:val="single" w:sz="4" w:space="0" w:color="00000A"/>
              <w:insideV w:val="single" w:sz="4" w:space="0" w:color="00000A"/>
            </w:tcBorders>
            <w:shd w:fill="auto" w:val="clear"/>
            <w:tcMar>
              <w:left w:w="55" w:type="dxa"/>
            </w:tcMar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0" w:right="0" w:hanging="0"/>
              <w:contextualSpacing/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eastAsia="Times New Roman" w:cs="Times New Roman" w:ascii="Times New Roman" w:hAnsi="Times New Roman"/>
                <w:color w:val="000000"/>
                <w:sz w:val="26"/>
                <w:szCs w:val="26"/>
              </w:rPr>
              <w:t>Ставится метка в соответствующем поле</w:t>
            </w:r>
          </w:p>
        </w:tc>
      </w:tr>
    </w:tbl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регистрации расположена краткая инструкция по определению целостности индивидуального комплекта участника ЕГЭ (рис. 4) и поле для подписи участника ЕГЭ. </w:t>
      </w:r>
    </w:p>
    <w:p>
      <w:pPr>
        <w:pStyle w:val="Normal"/>
        <w:widowControl w:val="false"/>
        <w:spacing w:lineRule="auto" w:line="240" w:beforeAutospacing="1" w:afterAutospacing="1"/>
        <w:ind w:left="0" w:right="0" w:hanging="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/>
        <w:drawing>
          <wp:inline distT="0" distB="0" distL="0" distR="0">
            <wp:extent cx="6396355" cy="3704590"/>
            <wp:effectExtent l="0" t="0" r="0" b="0"/>
            <wp:docPr id="3" name="Picture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35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Cs/>
          <w:color w:val="000000"/>
          <w:sz w:val="26"/>
          <w:szCs w:val="26"/>
        </w:rPr>
        <w:t xml:space="preserve">Рис. 4. Краткая инструкция по определению целостности индивидуального комплекта участника ЕГЭ </w:t>
      </w:r>
    </w:p>
    <w:p>
      <w:pPr>
        <w:pStyle w:val="Normal"/>
        <w:widowControl w:val="false"/>
        <w:spacing w:lineRule="auto" w:line="240"/>
        <w:ind w:left="0" w:right="0" w:hanging="0"/>
        <w:jc w:val="center"/>
        <w:rPr/>
      </w:pPr>
      <w:r>
        <w:rPr/>
        <w:drawing>
          <wp:inline distT="0" distB="0" distL="0" distR="0">
            <wp:extent cx="6246495" cy="1198245"/>
            <wp:effectExtent l="0" t="0" r="0" b="0"/>
            <wp:docPr id="4" name="Picture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1198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5. Область для отметок организатора в аудитории о фактах удаления участника ЕГЭ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Заполнение полей (рис. 5) организатором в аудитории обязательно, если участник ЕГЭ удален с экзамена в связи с нарушением установленного порядка проведения ЕГЭ или не закончил экзамен по уважительной причине.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ЕГЭ в аудитории». В случае удаления участника ЕГЭ в штабе ППЭ в зоне видимости камер видеонаблюдения заполняется форма ППЭ-21 «Акт об удалении участника ГИА». 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После окончания заполнения бланка регистрации и выполнения всех пунктов краткой инструкции по определению целостности индивидуального комплекта участника ЕГЭ («До начала работы с бланками ответов следует…») участник ЕГЭ ставит свою подпись в специально отведенном для этого поле.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случае, если участник ЕГЭ отказывается ставить личную подпись в бланке регистрации, организатор в аудитории ставит в бланке регистрации свою подпись.</w:t>
      </w:r>
    </w:p>
    <w:p>
      <w:pPr>
        <w:pStyle w:val="2"/>
        <w:rPr/>
      </w:pPr>
      <w:bookmarkStart w:id="30" w:name="__RefHeading__5977_678713871"/>
      <w:bookmarkStart w:id="31" w:name="_Toc439067130"/>
      <w:bookmarkEnd w:id="30"/>
      <w:bookmarkEnd w:id="31"/>
      <w:r>
        <w:rPr/>
        <w:t>Заполнение бланка ответов № 1 (рис. 6)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ответов № 1 предназначен для записи результатов выполнения заданий с кратким ответом.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бланка ответов № 1 информация для заполнения полей о коде региона, коде и названии предмета должна быть продублирована с информации, внесенной в бланк регистрации.</w:t>
      </w:r>
    </w:p>
    <w:p>
      <w:pPr>
        <w:pStyle w:val="Normal"/>
        <w:widowControl w:val="false"/>
        <w:spacing w:lineRule="auto" w:line="240" w:beforeAutospacing="1" w:afterAutospacing="1"/>
        <w:ind w:left="0" w:right="0" w:hanging="0"/>
        <w:jc w:val="center"/>
        <w:rPr/>
      </w:pPr>
      <w:r>
        <w:rPr/>
        <w:drawing>
          <wp:inline distT="0" distB="0" distL="0" distR="0">
            <wp:extent cx="6115050" cy="8648700"/>
            <wp:effectExtent l="0" t="0" r="0" b="0"/>
            <wp:docPr id="5" name="Picture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6. Бланк ответов № 1</w:t>
      </w:r>
    </w:p>
    <w:p>
      <w:pPr>
        <w:pStyle w:val="Normal"/>
        <w:widowControl w:val="false"/>
        <w:spacing w:lineRule="auto" w:line="240"/>
        <w:ind w:left="0" w:right="0" w:hanging="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/>
        <w:drawing>
          <wp:inline distT="0" distB="0" distL="0" distR="0">
            <wp:extent cx="6036945" cy="5105400"/>
            <wp:effectExtent l="0" t="0" r="0" b="0"/>
            <wp:docPr id="6" name="Picture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6"/>
          <w:szCs w:val="26"/>
        </w:rPr>
        <w:br/>
      </w: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7. Область для записи ответов на задания с кратким ответом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средней части бланка ответов № 1 (рис. 7) - 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Ответ на задание с кратким ответом нужно записать в такой форме, в которой требуется в инструкции к данному заданию, размещенной в КИМ, перед соответствующим заданием или группой заданий.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Не разрешается использовать при записи ответа на задания с кратким ответом никаких иных символов, кроме символов кириллицы, латиницы, арабских цифр, запятой и знака «дефис» («минус»).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Краткий ответ, в соответствии с инструкцией к заданию, может быть записан только в виде:</w:t>
      </w:r>
    </w:p>
    <w:p>
      <w:pPr>
        <w:pStyle w:val="Normal"/>
        <w:widowControl w:val="false"/>
        <w:spacing w:lineRule="auto" w:line="240" w:before="0" w:after="0"/>
        <w:ind w:left="709" w:right="0" w:hanging="0"/>
        <w:contextualSpacing/>
        <w:jc w:val="both"/>
        <w:rPr>
          <w:rFonts w:cs="Times New Roman" w:ascii="Times New Roman" w:hAnsi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слова или словосочетания;</w:t>
      </w:r>
    </w:p>
    <w:p>
      <w:pPr>
        <w:pStyle w:val="Normal"/>
        <w:widowControl w:val="false"/>
        <w:spacing w:lineRule="auto" w:line="240" w:before="0" w:after="0"/>
        <w:ind w:left="709" w:right="0" w:hanging="0"/>
        <w:contextualSpacing/>
        <w:jc w:val="both"/>
        <w:rPr>
          <w:rFonts w:cs="Times New Roman" w:ascii="Times New Roman" w:hAnsi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одного целого числа;</w:t>
      </w:r>
    </w:p>
    <w:p>
      <w:pPr>
        <w:pStyle w:val="Normal"/>
        <w:widowControl w:val="false"/>
        <w:spacing w:lineRule="auto" w:line="240" w:before="0" w:after="0"/>
        <w:ind w:left="709" w:right="0" w:hanging="0"/>
        <w:contextualSpacing/>
        <w:jc w:val="both"/>
        <w:rPr>
          <w:rFonts w:cs="Times New Roman" w:ascii="Times New Roman" w:hAnsi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комбинации букв и цифр;</w:t>
      </w:r>
    </w:p>
    <w:p>
      <w:pPr>
        <w:pStyle w:val="Normal"/>
        <w:widowControl w:val="false"/>
        <w:spacing w:lineRule="auto" w:line="240" w:before="0" w:after="0"/>
        <w:ind w:left="709" w:right="0" w:hanging="0"/>
        <w:contextualSpacing/>
        <w:jc w:val="both"/>
        <w:rPr>
          <w:rFonts w:cs="Times New Roman" w:ascii="Times New Roman" w:hAnsi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>десятичной дроби (с использованием цифр, запятой и знака «минус» при необходимости), если в инструкции по выполнению задания указано, что ответ можно дать в виде десятичной дроби;</w:t>
      </w:r>
    </w:p>
    <w:p>
      <w:pPr>
        <w:pStyle w:val="Normal"/>
        <w:widowControl w:val="false"/>
        <w:spacing w:lineRule="auto" w:line="240" w:before="0" w:after="0"/>
        <w:ind w:left="709" w:right="0" w:hanging="0"/>
        <w:contextualSpacing/>
        <w:jc w:val="both"/>
        <w:rPr>
          <w:rFonts w:cs="Times New Roman" w:ascii="Times New Roman" w:hAnsi="Times New Roman"/>
          <w:color w:val="000000"/>
          <w:sz w:val="26"/>
          <w:szCs w:val="26"/>
        </w:rPr>
      </w:pPr>
      <w:r>
        <w:rPr>
          <w:rFonts w:cs="Times New Roman" w:ascii="Times New Roman" w:hAnsi="Times New Roman"/>
          <w:color w:val="000000"/>
          <w:sz w:val="26"/>
          <w:szCs w:val="26"/>
        </w:rPr>
        <w:t xml:space="preserve">перечисления требуемых в задании пунктов, разделенных запятыми, если в инструкции к заданию указано, что в ответе элементы необходимо перечислить через запятую.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Каждая цифра, буква, запятая или знак «минус» (если число отрицательное) записывается в отдельную клеточку, строго по образцу из верхней части бланка ответов № 1.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написании ответов, состоящих из двух или более слов, каждое слово записывается в соответствии с  инструкциями по записи ответов в КИМ по соответствующим учебным предметам (например: без пробелов, запятых и других дополнительных символов).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в ответе больше 17 символов (количество клеточек, отведенное для записи ответов на задания с кратким ответом), то ответ записывается в отведенном для него месте, не обращая внимания на разбиение этого поля на клеточки. Ответ должен быть написан разборчиво, более узкими символами в одну строчку, с использованием всей длины отведенного под него поля. Символы в ответе не должны соприкасаться друг с другом. Термин следует писать полностью. Любые сокращения запрещены.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кратким ответом должно быть слово, пропущенное в тексте задания, то это слово нужно писать в той форме (род, число, падеж и т.п.), в которой оно должно стоять в задании.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Если числовой ответ получается в виде дроби, то её следует округлить до целого числа по правилам округления, если в инструкции по выполнению задания не требуется записать ответ в виде десятичной дроби (</w:t>
      </w:r>
      <w:r>
        <w:rPr>
          <w:rFonts w:cs="Times New Roman" w:ascii="Times New Roman" w:hAnsi="Times New Roman"/>
          <w:i/>
          <w:sz w:val="26"/>
          <w:szCs w:val="26"/>
        </w:rPr>
        <w:t xml:space="preserve">например: 2,3 округляется до 2; 2,5 – до 3; 2,7 – до 3). </w:t>
      </w:r>
      <w:r>
        <w:rPr>
          <w:rFonts w:cs="Times New Roman" w:ascii="Times New Roman" w:hAnsi="Times New Roman"/>
          <w:sz w:val="26"/>
          <w:szCs w:val="26"/>
        </w:rPr>
        <w:t>Это правило должно выполняться для тех заданий, для которых в инструкции по выполнению работы нет указаний, что ответ нужно дать в виде десятичной дроби.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ответе, записанном в виде десятичной дроби, в качестве разделителя следует указывать запятую.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>
      <w:pPr>
        <w:pStyle w:val="Normal"/>
        <w:widowControl w:val="false"/>
        <w:spacing w:lineRule="auto" w:line="240"/>
        <w:ind w:left="0" w:right="0" w:hanging="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/>
        <w:drawing>
          <wp:inline distT="0" distB="0" distL="0" distR="0">
            <wp:extent cx="6036945" cy="1693545"/>
            <wp:effectExtent l="0" t="0" r="0" b="0"/>
            <wp:docPr id="7" name="Picture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8. Область замены ошибочных ответов на задания с кратким ответом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нижней части бланка ответов № 1 предусмотрены поля для записи исправленных ответов на задания с кратким ответом взамен ошибочно записанных (рис. 8).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Для замены внесенного в бланк ответов № 1 ответа нужно в соответствующих полях замены проставить номер задания, ответ на который следует исправить, и записать новое значение верного ответа на указанное задание.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>
      <w:pPr>
        <w:pStyle w:val="2"/>
        <w:rPr/>
      </w:pPr>
      <w:bookmarkStart w:id="32" w:name="__RefHeading__5979_678713871"/>
      <w:bookmarkStart w:id="33" w:name="_Toc439067131"/>
      <w:bookmarkEnd w:id="32"/>
      <w:bookmarkEnd w:id="33"/>
      <w:r>
        <w:rPr/>
        <w:t>Заполнение бланка ответов № 2 (рис. 9, 10)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ответов № 2 предназначен для записи ответов на задания с развернутым ответом (строго в соответствии с требованиями инструкции к КИМ и к отдельным заданиям КИМ).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должна соответствовать информации, внесенной в бланк регистрации и бланк ответов № 1.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«Дополнительный бланк ответов № 2» заполняет организатор в аудитории при выдаче дополнительного бланка ответов № 2, вписывая в это поле цифровое значение штрихкода дополнительного бланка ответов № 2 (расположенное под шрихкодом бланка), который выдается участнику ЕГЭ. Поле «Резерв-6» не заполняется.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недостатке места для ответов на лицевой стороне бланка ответов № 2 участник ЕГЭ должен продолжить записи на оборотной стороне бланка, сделав в нижней части области ответов лицевой стороны бланка запись «смотри на обороте». Для удобства все страницы бланка ответов № 2 пронумерованы и разлинованы пунктирными линиями «в клеточку».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При недостатке места для ответов на основном бланке ответов № 2 участник ЕГЭ должен продолжить записи на дополнительном бланке ответов № 2, выдаваемом организатором в аудитории по требованию участника ЕГЭ в случае, когда в области ответов основного бланка ответов № 2 не осталось места. В случае заполнения дополнительного бланка ответов № 2 при незаполненном основном бланке ответов № 2, ответы, внесенные в дополнительный бланк ответов № 2, оцениваться не будут.</w:t>
      </w:r>
    </w:p>
    <w:p>
      <w:pPr>
        <w:pStyle w:val="Normal"/>
        <w:widowControl w:val="false"/>
        <w:spacing w:lineRule="auto" w:line="240"/>
        <w:ind w:left="0" w:right="0" w:hanging="0"/>
        <w:jc w:val="center"/>
        <w:rPr/>
      </w:pPr>
      <w:r>
        <w:rPr/>
        <w:drawing>
          <wp:inline distT="0" distB="0" distL="0" distR="0">
            <wp:extent cx="6086475" cy="8608060"/>
            <wp:effectExtent l="0" t="0" r="0" b="0"/>
            <wp:docPr id="8" name="Picture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860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ind w:left="0" w:right="0" w:hanging="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9. Бланк ответов № 2</w:t>
      </w:r>
    </w:p>
    <w:p>
      <w:pPr>
        <w:pStyle w:val="Normal"/>
        <w:widowControl w:val="false"/>
        <w:spacing w:lineRule="auto" w:line="240"/>
        <w:ind w:left="0" w:right="0" w:hanging="0"/>
        <w:jc w:val="center"/>
        <w:rPr/>
      </w:pPr>
      <w:r>
        <w:rPr/>
        <w:drawing>
          <wp:inline distT="0" distB="0" distL="0" distR="0">
            <wp:extent cx="6153150" cy="8764270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840" t="8000" r="35090" b="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8764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ind w:left="0" w:right="0" w:hanging="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10. Бланк ответов № 2 (оборотная сторона)</w:t>
      </w:r>
    </w:p>
    <w:p>
      <w:pPr>
        <w:pStyle w:val="2"/>
        <w:rPr/>
      </w:pPr>
      <w:bookmarkStart w:id="34" w:name="__RefHeading__5981_678713871"/>
      <w:bookmarkStart w:id="35" w:name="_Toc439067132"/>
      <w:bookmarkEnd w:id="34"/>
      <w:bookmarkEnd w:id="35"/>
      <w:r>
        <w:rPr/>
        <w:t>Заполнение дополнительного бланка ответов № 2 (рис. 11, 12)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center"/>
        <w:rPr/>
      </w:pPr>
      <w:r>
        <w:rPr/>
        <w:drawing>
          <wp:inline distT="0" distB="0" distL="0" distR="0">
            <wp:extent cx="6076950" cy="8594725"/>
            <wp:effectExtent l="0" t="0" r="0" b="0"/>
            <wp:docPr id="10" name="Picture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859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11. Дополнительный бланк ответов № 2</w:t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center"/>
        <w:rPr/>
      </w:pPr>
      <w:r>
        <w:rPr/>
        <w:drawing>
          <wp:inline distT="0" distB="0" distL="0" distR="0">
            <wp:extent cx="6286500" cy="8896350"/>
            <wp:effectExtent l="0" t="0" r="0" b="0"/>
            <wp:docPr id="11" name="Picture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 w:before="0" w:after="0"/>
        <w:ind w:left="0" w:right="0" w:hanging="0"/>
        <w:contextualSpacing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r>
        <w:rPr>
          <w:rFonts w:cs="Times New Roman" w:ascii="Times New Roman" w:hAnsi="Times New Roman"/>
          <w:iCs/>
          <w:color w:val="000000"/>
          <w:sz w:val="26"/>
          <w:szCs w:val="26"/>
        </w:rPr>
        <w:t>Рис. 12. Дополнительный бланк ответов № 2 (оборотная сторона)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Дополнительный бланк ответов № 2 выдается организатором в аудитории по требованию участника ЕГЭ в случае нехватки места для записи развернутых ответов.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В верхней части дополнительного бланка ответов № 2 расположены вертикальный штрихкод, горизонтальный штрихкод и его цифровое значение, поля «Код региона», «Код предмета», «Название предмета», а также поля «Следующий дополнительный бланк ответов № 2» и «Лист №», «Резерв-7».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Поле «Следующий дополнительный бланк ответов № 2» заполняется организатором в аудитории при выдаче следующего дополнительного бланка ответов № 2, если участнику ЕГЭ не хватило места на ранее выданных бланках ответов № 2. В этом случае организатор в аудитории вносит в это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В поле «Лист №» организатор в аудитории при выдаче дополнительного бланка ответов № 2 вносит порядковый номер листа работы участника ЕГЭ (при этом листом № 1 является основной бланк ответов № 2, который участник ЕГЭ получил в составе индивидуального комплекта).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Поле «Резерв-7» не заполняется. </w:t>
      </w:r>
    </w:p>
    <w:p>
      <w:pPr>
        <w:pStyle w:val="Normal"/>
        <w:spacing w:lineRule="auto" w:line="240" w:before="240" w:after="0"/>
        <w:contextualSpacing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 случае полностью заполненного предыдущего дополнительного бланка ответов №2 и основного бланка ответов №2.</w:t>
      </w:r>
    </w:p>
    <w:p>
      <w:pPr>
        <w:pStyle w:val="2"/>
        <w:pageBreakBefore/>
        <w:rPr/>
      </w:pPr>
      <w:bookmarkStart w:id="36" w:name="_Toc361838907"/>
      <w:bookmarkStart w:id="37" w:name="__RefHeading__5983_678713871"/>
      <w:bookmarkStart w:id="38" w:name="_Toc439067133"/>
      <w:bookmarkEnd w:id="36"/>
      <w:bookmarkEnd w:id="37"/>
      <w:bookmarkEnd w:id="38"/>
      <w:r>
        <w:rPr/>
        <w:t>Заполнение бланка регистрации устного экзамена (рис. 13)</w:t>
      </w:r>
    </w:p>
    <w:p>
      <w:pPr>
        <w:pStyle w:val="Normal"/>
        <w:widowControl w:val="false"/>
        <w:spacing w:lineRule="auto" w:line="240"/>
        <w:jc w:val="both"/>
        <w:rPr>
          <w:rFonts w:cs="Times New Roman"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Бланк регистрации устного экзамена заполняется так же, как обычный бланк регистрации (см. п. </w:t>
      </w:r>
      <w:hyperlink w:anchor="_Заполнение_бланка_регистрации">
        <w:r>
          <w:rPr>
            <w:rStyle w:val="Style9"/>
            <w:rFonts w:cs="Times New Roman" w:ascii="Times New Roman" w:hAnsi="Times New Roman"/>
            <w:color w:val="00000A"/>
            <w:sz w:val="26"/>
            <w:szCs w:val="26"/>
            <w:u w:val="none"/>
          </w:rPr>
          <w:t>3.3</w:t>
        </w:r>
      </w:hyperlink>
      <w:r>
        <w:rPr>
          <w:rFonts w:cs="Times New Roman" w:ascii="Times New Roman" w:hAnsi="Times New Roman"/>
          <w:sz w:val="26"/>
          <w:szCs w:val="26"/>
        </w:rPr>
        <w:t>).</w:t>
      </w:r>
    </w:p>
    <w:p>
      <w:pPr>
        <w:pStyle w:val="Normal"/>
        <w:widowControl w:val="false"/>
        <w:spacing w:lineRule="auto" w:line="240"/>
        <w:jc w:val="center"/>
        <w:rPr/>
      </w:pPr>
      <w:r>
        <w:rPr/>
        <w:drawing>
          <wp:inline distT="0" distB="0" distL="0" distR="0">
            <wp:extent cx="5562600" cy="7964170"/>
            <wp:effectExtent l="0" t="0" r="0" b="0"/>
            <wp:docPr id="12" name="Picture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96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widowControl w:val="false"/>
        <w:spacing w:lineRule="auto" w:line="240"/>
        <w:jc w:val="center"/>
        <w:rPr>
          <w:rFonts w:cs="Times New Roman" w:ascii="Times New Roman" w:hAnsi="Times New Roman"/>
          <w:iCs/>
          <w:color w:val="000000"/>
          <w:sz w:val="26"/>
          <w:szCs w:val="26"/>
        </w:rPr>
      </w:pPr>
      <w:bookmarkStart w:id="39" w:name="_Toc410027490"/>
      <w:r>
        <w:rPr>
          <w:rFonts w:cs="Times New Roman" w:ascii="Times New Roman" w:hAnsi="Times New Roman"/>
          <w:iCs/>
          <w:color w:val="000000"/>
          <w:sz w:val="26"/>
          <w:szCs w:val="26"/>
        </w:rPr>
        <w:t>Рис 13. Бланк регистрации устного экзамена</w:t>
      </w:r>
    </w:p>
    <w:p>
      <w:pPr>
        <w:pStyle w:val="1"/>
        <w:ind w:left="360" w:right="0" w:hanging="0"/>
        <w:jc w:val="left"/>
        <w:rPr>
          <w:rFonts w:eastAsia="Times New Roman"/>
        </w:rPr>
      </w:pPr>
      <w:bookmarkStart w:id="40" w:name="__RefHeading__5985_678713871"/>
      <w:bookmarkStart w:id="41" w:name="_Toc439067134"/>
      <w:bookmarkEnd w:id="40"/>
      <w:bookmarkEnd w:id="39"/>
      <w:bookmarkEnd w:id="41"/>
      <w:r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Документы, удостоверяющие личность граждан Российской Федерации</w:t>
      </w:r>
    </w:p>
    <w:p>
      <w:pPr>
        <w:pStyle w:val="Normal"/>
        <w:tabs>
          <w:tab w:val="left" w:pos="900" w:leader="none"/>
        </w:tabs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Федерации;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2. Паспорт гражданина Российской Федерации для выезда из Российской Федерации и въезда в Российскую Федерацию, удостоверяющий личность гражданина Российской Федерации за пределами территории Российской Федерации (заграничный);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3. Дипломатический паспорт;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4. Служебный паспорт;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 xml:space="preserve">5. Удостоверение личности военнослужащего; 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Документы, удостоверяющие личность иностранных граждан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>
        <w:rPr>
          <w:rStyle w:val="Style19"/>
          <w:rFonts w:eastAsia="Times New Roman" w:cs="Times New Roman" w:ascii="Times New Roman" w:hAnsi="Times New Roman"/>
          <w:sz w:val="26"/>
          <w:szCs w:val="26"/>
        </w:rPr>
        <w:footnoteReference w:id="2"/>
      </w:r>
      <w:r>
        <w:rPr>
          <w:rFonts w:eastAsia="Times New Roman" w:cs="Times New Roman" w:ascii="Times New Roman" w:hAnsi="Times New Roman"/>
          <w:sz w:val="26"/>
          <w:szCs w:val="26"/>
        </w:rPr>
        <w:t>;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2. Разрешение на временное проживание;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3. Вид на жительство;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Документы, удостоверяющие личность лица без гражданства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1.</w:t>
      </w:r>
      <w:r>
        <w:rPr>
          <w:rFonts w:eastAsia="Times New Roman" w:cs="Times New Roman" w:ascii="Times New Roman" w:hAnsi="Times New Roman"/>
          <w:szCs w:val="24"/>
        </w:rPr>
        <w:t xml:space="preserve"> </w:t>
      </w:r>
      <w:r>
        <w:rPr>
          <w:rFonts w:eastAsia="Times New Roman" w:cs="Times New Roman" w:ascii="Times New Roman" w:hAnsi="Times New Roman"/>
          <w:sz w:val="26"/>
          <w:szCs w:val="26"/>
        </w:rPr>
        <w:t>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2. Вид на жительство;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>
        <w:rPr>
          <w:rStyle w:val="Style19"/>
          <w:rFonts w:eastAsia="Times New Roman" w:cs="Times New Roman" w:ascii="Times New Roman" w:hAnsi="Times New Roman"/>
          <w:sz w:val="26"/>
          <w:szCs w:val="26"/>
        </w:rPr>
        <w:footnoteReference w:id="3"/>
      </w:r>
      <w:r>
        <w:rPr>
          <w:rFonts w:eastAsia="Times New Roman" w:cs="Times New Roman" w:ascii="Times New Roman" w:hAnsi="Times New Roman"/>
          <w:sz w:val="26"/>
          <w:szCs w:val="26"/>
        </w:rPr>
        <w:t>.</w:t>
      </w:r>
    </w:p>
    <w:p>
      <w:pPr>
        <w:pStyle w:val="Normal"/>
        <w:spacing w:lineRule="auto" w:line="240" w:before="0" w:after="0"/>
        <w:ind w:left="0" w:right="0" w:firstLine="72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</w:r>
    </w:p>
    <w:p>
      <w:pPr>
        <w:pStyle w:val="3"/>
        <w:rPr>
          <w:rFonts w:eastAsia="Times New Roman"/>
        </w:rPr>
      </w:pPr>
      <w:r>
        <w:rPr>
          <w:rFonts w:eastAsia="Times New Roman"/>
        </w:rPr>
        <w:t>Документы, удостоверяющие личность беженцев</w:t>
      </w:r>
    </w:p>
    <w:p>
      <w:pPr>
        <w:pStyle w:val="Normal"/>
        <w:numPr>
          <w:ilvl w:val="0"/>
          <w:numId w:val="2"/>
        </w:numPr>
        <w:tabs>
          <w:tab w:val="left" w:pos="1080" w:leader="none"/>
        </w:tabs>
        <w:spacing w:lineRule="auto" w:line="240" w:before="0" w:after="0"/>
        <w:ind w:left="0" w:right="0" w:hanging="1000"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Удостоверение беженца.</w:t>
      </w:r>
    </w:p>
    <w:p>
      <w:pPr>
        <w:pStyle w:val="Normal"/>
        <w:numPr>
          <w:ilvl w:val="0"/>
          <w:numId w:val="2"/>
        </w:numPr>
        <w:tabs>
          <w:tab w:val="left" w:pos="1080" w:leader="none"/>
        </w:tabs>
        <w:spacing w:lineRule="auto" w:line="240" w:before="0" w:after="0"/>
        <w:ind w:left="0" w:right="0" w:hanging="1000"/>
        <w:contextualSpacing/>
        <w:jc w:val="both"/>
        <w:rPr>
          <w:rFonts w:eastAsia="Times New Roman" w:cs="Times New Roman" w:ascii="Times New Roman" w:hAnsi="Times New Roman"/>
          <w:sz w:val="26"/>
          <w:szCs w:val="26"/>
        </w:rPr>
      </w:pPr>
      <w:r>
        <w:rPr>
          <w:rFonts w:eastAsia="Times New Roman" w:cs="Times New Roman" w:ascii="Times New Roman" w:hAnsi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sectPr>
      <w:footerReference w:type="default" r:id="rId17"/>
      <w:footnotePr>
        <w:numFmt w:val="decimal"/>
      </w:footnotePr>
      <w:type w:val="nextPage"/>
      <w:pgSz w:w="11906" w:h="16838"/>
      <w:pgMar w:left="1134" w:right="851" w:header="0" w:top="993" w:footer="380" w:bottom="437" w:gutter="0"/>
      <w:pgNumType w:fmt="decimal"/>
      <w:formProt w:val="false"/>
      <w:textDirection w:val="lrTb"/>
      <w:docGrid w:type="default" w:linePitch="4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Tahoma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Verdana">
    <w:charset w:val="01"/>
    <w:family w:val="roman"/>
    <w:pitch w:val="variable"/>
  </w:font>
  <w:font w:name="Arial">
    <w:charset w:val="01"/>
    <w:family w:val="roman"/>
    <w:pitch w:val="variable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8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0</w:t>
    </w:r>
    <w:r>
      <w:fldChar w:fldCharType="end"/>
    </w:r>
  </w:p>
  <w:p>
    <w:pPr>
      <w:pStyle w:val="Style28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28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0</w:t>
    </w:r>
    <w:r>
      <w:fldChar w:fldCharType="end"/>
    </w:r>
  </w:p>
  <w:p>
    <w:pPr>
      <w:pStyle w:val="Style28"/>
      <w:rPr/>
    </w:pPr>
    <w:r>
      <w:rPr/>
    </w:r>
  </w:p>
</w:ftr>
</file>

<file path=word/footnotes.xml><?xml version="1.0" encoding="utf-8"?>
<w:footnotes xmlns:w="http://schemas.openxmlformats.org/wordprocessingml/2006/main" xmlns:r="http://schemas.openxmlformats.org/officeDocument/2006/relationships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Normal"/>
        <w:rPr>
          <w:rFonts w:cs="Times New Roman" w:ascii="Times New Roman" w:hAnsi="Times New Roman"/>
          <w:sz w:val="18"/>
        </w:rPr>
      </w:pPr>
      <w:r>
        <w:rPr>
          <w:rStyle w:val="Footnotereference"/>
          <w:rFonts w:cs="Times New Roman" w:ascii="Times New Roman" w:hAnsi="Times New Roman"/>
          <w:sz w:val="18"/>
        </w:rPr>
        <w:footnoteRef/>
        <w:tab/>
      </w:r>
      <w:r>
        <w:rPr>
          <w:rFonts w:cs="Times New Roman" w:ascii="Times New Roman" w:hAnsi="Times New Roman"/>
          <w:sz w:val="18"/>
        </w:rPr>
        <w:t xml:space="preserve"> </w:t>
      </w:r>
      <w:r>
        <w:rPr>
          <w:rFonts w:cs="Times New Roman" w:ascii="Times New Roman" w:hAnsi="Times New Roman"/>
          <w:sz w:val="18"/>
        </w:rPr>
        <w:t>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  <w:p>
      <w:pPr>
        <w:pStyle w:val="Style33"/>
        <w:rPr/>
      </w:pPr>
      <w:r>
        <w:rPr/>
      </w:r>
    </w:p>
  </w:footnote>
  <w:footnote w:id="3">
    <w:p>
      <w:pPr>
        <w:pStyle w:val="Normal"/>
        <w:rPr>
          <w:rFonts w:cs="Times New Roman" w:ascii="Times New Roman" w:hAnsi="Times New Roman"/>
          <w:sz w:val="18"/>
        </w:rPr>
      </w:pPr>
      <w:r>
        <w:rPr>
          <w:rStyle w:val="Footnotereference"/>
          <w:rFonts w:cs="Times New Roman" w:ascii="Times New Roman" w:hAnsi="Times New Roman"/>
          <w:sz w:val="18"/>
        </w:rPr>
        <w:footnoteRef/>
        <w:tab/>
      </w:r>
      <w:r>
        <w:rPr>
          <w:rFonts w:cs="Times New Roman" w:ascii="Times New Roman" w:hAnsi="Times New Roman"/>
          <w:sz w:val="18"/>
        </w:rPr>
        <w:t xml:space="preserve"> </w:t>
      </w:r>
      <w:r>
        <w:rPr>
          <w:rFonts w:cs="Times New Roman" w:ascii="Times New Roman" w:hAnsi="Times New Roman"/>
          <w:sz w:val="18"/>
        </w:rPr>
        <w:t>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  <w:p>
      <w:pPr>
        <w:pStyle w:val="Style33"/>
        <w:rPr/>
      </w:pPr>
      <w:r>
        <w:rPr/>
      </w:r>
    </w:p>
  </w:footnote>
</w:footnote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lvl w:ilvl="0">
      <w:start w:val="1"/>
      <w:numFmt w:val="decimal"/>
      <w:lvlText w:val=""/>
      <w:lvlJc w:val="left"/>
      <w:pPr>
        <w:ind w:left="1720" w:hanging="1000"/>
      </w:pPr>
      <w:rPr/>
    </w:lvl>
    <w:lvl w:ilvl="1">
      <w:start w:val="1"/>
      <w:numFmt w:val="lowerLetter"/>
      <w:lvlText w:val="%2"/>
      <w:lvlJc w:val="left"/>
      <w:pPr>
        <w:ind w:left="1800" w:hanging="360"/>
      </w:pPr>
      <w:rPr/>
    </w:lvl>
    <w:lvl w:ilvl="2">
      <w:start w:val="1"/>
      <w:numFmt w:val="lowerRoman"/>
      <w:lvlText w:val="%3"/>
      <w:lvlJc w:val="right"/>
      <w:pPr>
        <w:ind w:left="2520" w:hanging="180"/>
      </w:pPr>
      <w:rPr/>
    </w:lvl>
    <w:lvl w:ilvl="3">
      <w:start w:val="1"/>
      <w:numFmt w:val="decimal"/>
      <w:lvlText w:val="%4"/>
      <w:lvlJc w:val="left"/>
      <w:pPr>
        <w:ind w:left="3240" w:hanging="360"/>
      </w:pPr>
      <w:rPr/>
    </w:lvl>
    <w:lvl w:ilvl="4">
      <w:start w:val="1"/>
      <w:numFmt w:val="lowerLetter"/>
      <w:lvlText w:val="%5"/>
      <w:lvlJc w:val="left"/>
      <w:pPr>
        <w:ind w:left="3960" w:hanging="360"/>
      </w:pPr>
      <w:rPr/>
    </w:lvl>
    <w:lvl w:ilvl="5">
      <w:start w:val="1"/>
      <w:numFmt w:val="lowerRoman"/>
      <w:lvlText w:val="%6"/>
      <w:lvlJc w:val="right"/>
      <w:pPr>
        <w:ind w:left="4680" w:hanging="180"/>
      </w:pPr>
      <w:rPr/>
    </w:lvl>
    <w:lvl w:ilvl="6">
      <w:start w:val="1"/>
      <w:numFmt w:val="decimal"/>
      <w:lvlText w:val="%7"/>
      <w:lvlJc w:val="left"/>
      <w:pPr>
        <w:ind w:left="5400" w:hanging="360"/>
      </w:pPr>
      <w:rPr/>
    </w:lvl>
    <w:lvl w:ilvl="7">
      <w:start w:val="1"/>
      <w:numFmt w:val="lowerLetter"/>
      <w:lvlText w:val="%8"/>
      <w:lvlJc w:val="left"/>
      <w:pPr>
        <w:ind w:left="6120" w:hanging="360"/>
      </w:pPr>
      <w:rPr/>
    </w:lvl>
    <w:lvl w:ilvl="8">
      <w:start w:val="1"/>
      <w:numFmt w:val="lowerRoman"/>
      <w:lvlText w:val="%9"/>
      <w:lvlJc w:val="right"/>
      <w:pPr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footnotePr>
    <w:numFmt w:val="decimal"/>
    <w:footnote w:id="0"/>
    <w:footnote w:id="1"/>
  </w:footnotePr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Droid Sans Fallback" w:cs=""/>
        <w:sz w:val="22"/>
        <w:szCs w:val="22"/>
        <w:lang w:val="ru-RU" w:eastAsia="ru-RU" w:bidi="ar-SA"/>
      </w:rPr>
    </w:rPrDefault>
    <w:pPrDefault>
      <w:pPr>
        <w:spacing w:lineRule="auto" w:line="276"/>
      </w:pPr>
    </w:pPrDefault>
  </w:docDefaults>
  <w:latentStyles w:count="267" w:defQFormat="0" w:defUnhideWhenUsed="1" w:defSemiHidden="1" w:defUIPriority="99" w:defLockedState="0">
    <w:lsdException w:qFormat="1" w:unhideWhenUsed="0" w:semiHidden="0" w:uiPriority="0" w:name="Normal"/>
    <w:lsdException w:qFormat="1" w:unhideWhenUsed="0" w:semiHidden="0" w:uiPriority="0" w:name="heading 1"/>
    <w:lsdException w:qFormat="1" w:uiPriority="0" w:name="heading 2"/>
    <w:lsdException w:qFormat="1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9" w:name="heading 7"/>
    <w:lsdException w:qFormat="1" w:uiPriority="9" w:name="heading 8"/>
    <w:lsdException w:qFormat="1" w:uiPriority="9" w:name="heading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0" w:name="caption"/>
    <w:lsdException w:uiPriority="0" w:name="footnote reference"/>
    <w:lsdException w:qFormat="1" w:unhideWhenUsed="0" w:semiHidden="0" w:uiPriority="10" w:name="Title"/>
    <w:lsdException w:uiPriority="1" w:name="Default Paragraph Font"/>
    <w:lsdException w:qFormat="1" w:unhideWhenUsed="0" w:semiHidden="0" w:uiPriority="11" w:name="Subtitle"/>
    <w:lsdException w:qFormat="1" w:unhideWhenUsed="0" w:semiHidden="0" w:uiPriority="22" w:name="Strong"/>
    <w:lsdException w:qFormat="1" w:unhideWhenUsed="0" w:semiHidden="0" w:uiPriority="20" w:name="Emphasis"/>
    <w:lsdException w:uiPriority="0" w:name="HTML Preformatted"/>
    <w:lsdException w:unhideWhenUsed="0" w:semiHidden="0" w:uiPriority="59" w:name="Table Grid"/>
    <w:lsdException w:unhideWhenUsed="0" w:name="Placeholder Text"/>
    <w:lsdException w:qFormat="1" w:unhideWhenUsed="0" w:semiHidden="0" w:uiPriority="1" w:name="No Spacing"/>
    <w:lsdException w:unhideWhenUsed="0" w:semiHidden="0" w:uiPriority="60" w:name="Light Shading"/>
    <w:lsdException w:unhideWhenUsed="0" w:semiHidden="0" w:uiPriority="61" w:name="Light List"/>
    <w:lsdException w:unhideWhenUsed="0" w:semiHidden="0" w:uiPriority="62" w:name="Light Grid"/>
    <w:lsdException w:unhideWhenUsed="0" w:semiHidden="0" w:uiPriority="63" w:name="Medium Shading 1"/>
    <w:lsdException w:unhideWhenUsed="0" w:semiHidden="0" w:uiPriority="64" w:name="Medium Shading 2"/>
    <w:lsdException w:unhideWhenUsed="0" w:semiHidden="0" w:uiPriority="65" w:name="Medium List 1"/>
    <w:lsdException w:unhideWhenUsed="0" w:semiHidden="0" w:uiPriority="66" w:name="Medium List 2"/>
    <w:lsdException w:unhideWhenUsed="0" w:semiHidden="0" w:uiPriority="67" w:name="Medium Grid 1"/>
    <w:lsdException w:unhideWhenUsed="0" w:semiHidden="0" w:uiPriority="68" w:name="Medium Grid 2"/>
    <w:lsdException w:unhideWhenUsed="0" w:semiHidden="0" w:uiPriority="69" w:name="Medium Grid 3"/>
    <w:lsdException w:unhideWhenUsed="0" w:semiHidden="0" w:uiPriority="70" w:name="Dark List"/>
    <w:lsdException w:unhideWhenUsed="0" w:semiHidden="0" w:uiPriority="71" w:name="Colorful Shading"/>
    <w:lsdException w:unhideWhenUsed="0" w:semiHidden="0" w:uiPriority="72" w:name="Colorful List"/>
    <w:lsdException w:unhideWhenUsed="0" w:semiHidden="0" w:uiPriority="73" w:name="Colorful Grid"/>
    <w:lsdException w:unhideWhenUsed="0" w:semiHidden="0" w:uiPriority="60" w:name="Light Shading Accent 1"/>
    <w:lsdException w:unhideWhenUsed="0" w:semiHidden="0" w:uiPriority="61" w:name="Light List Accent 1"/>
    <w:lsdException w:unhideWhenUsed="0" w:semiHidden="0" w:uiPriority="62" w:name="Light Grid Accent 1"/>
    <w:lsdException w:unhideWhenUsed="0" w:semiHidden="0" w:uiPriority="63" w:name="Medium Shading 1 Accent 1"/>
    <w:lsdException w:unhideWhenUsed="0" w:semiHidden="0" w:uiPriority="64" w:name="Medium Shading 2 Accent 1"/>
    <w:lsdException w:unhideWhenUsed="0" w:semiHidden="0" w:uiPriority="65" w:name="Medium List 1 Accent 1"/>
    <w:lsdException w:unhideWhenUsed="0" w:name="Revision"/>
    <w:lsdException w:qFormat="1" w:unhideWhenUsed="0" w:semiHidden="0" w:uiPriority="34" w:name="List Paragraph"/>
    <w:lsdException w:qFormat="1" w:unhideWhenUsed="0" w:semiHidden="0" w:uiPriority="29" w:name="Quote"/>
    <w:lsdException w:qFormat="1" w:unhideWhenUsed="0" w:semiHidden="0" w:uiPriority="30" w:name="Intense Quote"/>
    <w:lsdException w:unhideWhenUsed="0" w:semiHidden="0" w:uiPriority="66" w:name="Medium List 2 Accent 1"/>
    <w:lsdException w:unhideWhenUsed="0" w:semiHidden="0" w:uiPriority="67" w:name="Medium Grid 1 Accent 1"/>
    <w:lsdException w:unhideWhenUsed="0" w:semiHidden="0" w:uiPriority="68" w:name="Medium Grid 2 Accent 1"/>
    <w:lsdException w:unhideWhenUsed="0" w:semiHidden="0" w:uiPriority="69" w:name="Medium Grid 3 Accent 1"/>
    <w:lsdException w:unhideWhenUsed="0" w:semiHidden="0" w:uiPriority="70" w:name="Dark List Accent 1"/>
    <w:lsdException w:unhideWhenUsed="0" w:semiHidden="0" w:uiPriority="71" w:name="Colorful Shading Accent 1"/>
    <w:lsdException w:unhideWhenUsed="0" w:semiHidden="0" w:uiPriority="72" w:name="Colorful List Accent 1"/>
    <w:lsdException w:unhideWhenUsed="0" w:semiHidden="0" w:uiPriority="73" w:name="Colorful Grid Accent 1"/>
    <w:lsdException w:unhideWhenUsed="0" w:semiHidden="0" w:uiPriority="60" w:name="Light Shading Accent 2"/>
    <w:lsdException w:unhideWhenUsed="0" w:semiHidden="0" w:uiPriority="61" w:name="Light List Accent 2"/>
    <w:lsdException w:unhideWhenUsed="0" w:semiHidden="0" w:uiPriority="62" w:name="Light Grid Accent 2"/>
    <w:lsdException w:unhideWhenUsed="0" w:semiHidden="0" w:uiPriority="63" w:name="Medium Shading 1 Accent 2"/>
    <w:lsdException w:unhideWhenUsed="0" w:semiHidden="0" w:uiPriority="64" w:name="Medium Shading 2 Accent 2"/>
    <w:lsdException w:unhideWhenUsed="0" w:semiHidden="0" w:uiPriority="65" w:name="Medium List 1 Accent 2"/>
    <w:lsdException w:unhideWhenUsed="0" w:semiHidden="0" w:uiPriority="66" w:name="Medium List 2 Accent 2"/>
    <w:lsdException w:unhideWhenUsed="0" w:semiHidden="0" w:uiPriority="67" w:name="Medium Grid 1 Accent 2"/>
    <w:lsdException w:unhideWhenUsed="0" w:semiHidden="0" w:uiPriority="68" w:name="Medium Grid 2 Accent 2"/>
    <w:lsdException w:unhideWhenUsed="0" w:semiHidden="0" w:uiPriority="69" w:name="Medium Grid 3 Accent 2"/>
    <w:lsdException w:unhideWhenUsed="0" w:semiHidden="0" w:uiPriority="70" w:name="Dark List Accent 2"/>
    <w:lsdException w:unhideWhenUsed="0" w:semiHidden="0" w:uiPriority="71" w:name="Colorful Shading Accent 2"/>
    <w:lsdException w:unhideWhenUsed="0" w:semiHidden="0" w:uiPriority="72" w:name="Colorful List Accent 2"/>
    <w:lsdException w:unhideWhenUsed="0" w:semiHidden="0" w:uiPriority="73" w:name="Colorful Grid Accent 2"/>
    <w:lsdException w:unhideWhenUsed="0" w:semiHidden="0" w:uiPriority="60" w:name="Light Shading Accent 3"/>
    <w:lsdException w:unhideWhenUsed="0" w:semiHidden="0" w:uiPriority="61" w:name="Light List Accent 3"/>
    <w:lsdException w:unhideWhenUsed="0" w:semiHidden="0" w:uiPriority="62" w:name="Light Grid Accent 3"/>
    <w:lsdException w:unhideWhenUsed="0" w:semiHidden="0" w:uiPriority="63" w:name="Medium Shading 1 Accent 3"/>
    <w:lsdException w:unhideWhenUsed="0" w:semiHidden="0" w:uiPriority="64" w:name="Medium Shading 2 Accent 3"/>
    <w:lsdException w:unhideWhenUsed="0" w:semiHidden="0" w:uiPriority="65" w:name="Medium List 1 Accent 3"/>
    <w:lsdException w:unhideWhenUsed="0" w:semiHidden="0" w:uiPriority="66" w:name="Medium List 2 Accent 3"/>
    <w:lsdException w:unhideWhenUsed="0" w:semiHidden="0" w:uiPriority="67" w:name="Medium Grid 1 Accent 3"/>
    <w:lsdException w:unhideWhenUsed="0" w:semiHidden="0" w:uiPriority="68" w:name="Medium Grid 2 Accent 3"/>
    <w:lsdException w:unhideWhenUsed="0" w:semiHidden="0" w:uiPriority="69" w:name="Medium Grid 3 Accent 3"/>
    <w:lsdException w:unhideWhenUsed="0" w:semiHidden="0" w:uiPriority="70" w:name="Dark List Accent 3"/>
    <w:lsdException w:unhideWhenUsed="0" w:semiHidden="0" w:uiPriority="71" w:name="Colorful Shading Accent 3"/>
    <w:lsdException w:unhideWhenUsed="0" w:semiHidden="0" w:uiPriority="72" w:name="Colorful List Accent 3"/>
    <w:lsdException w:unhideWhenUsed="0" w:semiHidden="0" w:uiPriority="73" w:name="Colorful Grid Accent 3"/>
    <w:lsdException w:unhideWhenUsed="0" w:semiHidden="0" w:uiPriority="60" w:name="Light Shading Accent 4"/>
    <w:lsdException w:unhideWhenUsed="0" w:semiHidden="0" w:uiPriority="61" w:name="Light List Accent 4"/>
    <w:lsdException w:unhideWhenUsed="0" w:semiHidden="0" w:uiPriority="62" w:name="Light Grid Accent 4"/>
    <w:lsdException w:unhideWhenUsed="0" w:semiHidden="0" w:uiPriority="63" w:name="Medium Shading 1 Accent 4"/>
    <w:lsdException w:unhideWhenUsed="0" w:semiHidden="0" w:uiPriority="64" w:name="Medium Shading 2 Accent 4"/>
    <w:lsdException w:unhideWhenUsed="0" w:semiHidden="0" w:uiPriority="65" w:name="Medium List 1 Accent 4"/>
    <w:lsdException w:unhideWhenUsed="0" w:semiHidden="0" w:uiPriority="66" w:name="Medium List 2 Accent 4"/>
    <w:lsdException w:unhideWhenUsed="0" w:semiHidden="0" w:uiPriority="67" w:name="Medium Grid 1 Accent 4"/>
    <w:lsdException w:unhideWhenUsed="0" w:semiHidden="0" w:uiPriority="68" w:name="Medium Grid 2 Accent 4"/>
    <w:lsdException w:unhideWhenUsed="0" w:semiHidden="0" w:uiPriority="69" w:name="Medium Grid 3 Accent 4"/>
    <w:lsdException w:unhideWhenUsed="0" w:semiHidden="0" w:uiPriority="70" w:name="Dark List Accent 4"/>
    <w:lsdException w:unhideWhenUsed="0" w:semiHidden="0" w:uiPriority="71" w:name="Colorful Shading Accent 4"/>
    <w:lsdException w:unhideWhenUsed="0" w:semiHidden="0" w:uiPriority="72" w:name="Colorful List Accent 4"/>
    <w:lsdException w:unhideWhenUsed="0" w:semiHidden="0" w:uiPriority="73" w:name="Colorful Grid Accent 4"/>
    <w:lsdException w:unhideWhenUsed="0" w:semiHidden="0" w:uiPriority="60" w:name="Light Shading Accent 5"/>
    <w:lsdException w:unhideWhenUsed="0" w:semiHidden="0" w:uiPriority="61" w:name="Light List Accent 5"/>
    <w:lsdException w:unhideWhenUsed="0" w:semiHidden="0" w:uiPriority="62" w:name="Light Grid Accent 5"/>
    <w:lsdException w:unhideWhenUsed="0" w:semiHidden="0" w:uiPriority="63" w:name="Medium Shading 1 Accent 5"/>
    <w:lsdException w:unhideWhenUsed="0" w:semiHidden="0" w:uiPriority="64" w:name="Medium Shading 2 Accent 5"/>
    <w:lsdException w:unhideWhenUsed="0" w:semiHidden="0" w:uiPriority="65" w:name="Medium List 1 Accent 5"/>
    <w:lsdException w:unhideWhenUsed="0" w:semiHidden="0" w:uiPriority="66" w:name="Medium List 2 Accent 5"/>
    <w:lsdException w:unhideWhenUsed="0" w:semiHidden="0" w:uiPriority="67" w:name="Medium Grid 1 Accent 5"/>
    <w:lsdException w:unhideWhenUsed="0" w:semiHidden="0" w:uiPriority="68" w:name="Medium Grid 2 Accent 5"/>
    <w:lsdException w:unhideWhenUsed="0" w:semiHidden="0" w:uiPriority="69" w:name="Medium Grid 3 Accent 5"/>
    <w:lsdException w:unhideWhenUsed="0" w:semiHidden="0" w:uiPriority="70" w:name="Dark List Accent 5"/>
    <w:lsdException w:unhideWhenUsed="0" w:semiHidden="0" w:uiPriority="71" w:name="Colorful Shading Accent 5"/>
    <w:lsdException w:unhideWhenUsed="0" w:semiHidden="0" w:uiPriority="72" w:name="Colorful List Accent 5"/>
    <w:lsdException w:unhideWhenUsed="0" w:semiHidden="0" w:uiPriority="73" w:name="Colorful Grid Accent 5"/>
    <w:lsdException w:unhideWhenUsed="0" w:semiHidden="0" w:uiPriority="60" w:name="Light Shading Accent 6"/>
    <w:lsdException w:unhideWhenUsed="0" w:semiHidden="0" w:uiPriority="61" w:name="Light List Accent 6"/>
    <w:lsdException w:unhideWhenUsed="0" w:semiHidden="0" w:uiPriority="62" w:name="Light Grid Accent 6"/>
    <w:lsdException w:unhideWhenUsed="0" w:semiHidden="0" w:uiPriority="63" w:name="Medium Shading 1 Accent 6"/>
    <w:lsdException w:unhideWhenUsed="0" w:semiHidden="0" w:uiPriority="64" w:name="Medium Shading 2 Accent 6"/>
    <w:lsdException w:unhideWhenUsed="0" w:semiHidden="0" w:uiPriority="65" w:name="Medium List 1 Accent 6"/>
    <w:lsdException w:unhideWhenUsed="0" w:semiHidden="0" w:uiPriority="66" w:name="Medium List 2 Accent 6"/>
    <w:lsdException w:unhideWhenUsed="0" w:semiHidden="0" w:uiPriority="67" w:name="Medium Grid 1 Accent 6"/>
    <w:lsdException w:unhideWhenUsed="0" w:semiHidden="0" w:uiPriority="68" w:name="Medium Grid 2 Accent 6"/>
    <w:lsdException w:unhideWhenUsed="0" w:semiHidden="0" w:uiPriority="69" w:name="Medium Grid 3 Accent 6"/>
    <w:lsdException w:unhideWhenUsed="0" w:semiHidden="0" w:uiPriority="70" w:name="Dark List Accent 6"/>
    <w:lsdException w:unhideWhenUsed="0" w:semiHidden="0" w:uiPriority="71" w:name="Colorful Shading Accent 6"/>
    <w:lsdException w:unhideWhenUsed="0" w:semiHidden="0" w:uiPriority="72" w:name="Colorful List Accent 6"/>
    <w:lsdException w:unhideWhenUsed="0" w:semiHidden="0" w:uiPriority="73" w:name="Colorful Grid Accent 6"/>
    <w:lsdException w:qFormat="1" w:unhideWhenUsed="0" w:semiHidden="0" w:uiPriority="19" w:name="Subtle Emphasis"/>
    <w:lsdException w:qFormat="1" w:unhideWhenUsed="0" w:semiHidden="0" w:uiPriority="21" w:name="Intense Emphasis"/>
    <w:lsdException w:qFormat="1" w:unhideWhenUsed="0" w:semiHidden="0" w:uiPriority="31" w:name="Subtle Reference"/>
    <w:lsdException w:qFormat="1" w:unhideWhenUsed="0" w:semiHidden="0" w:uiPriority="32" w:name="Intense Reference"/>
    <w:lsdException w:qFormat="1" w:unhideWhenUsed="0" w:semiHidden="0" w:uiPriority="33" w:name="Book Title"/>
    <w:lsdException w:uiPriority="37" w:name="Bibliography"/>
    <w:lsdException w:qFormat="1" w:uiPriority="39" w:name="TOC Heading"/>
  </w:latentStyles>
  <w:style w:type="paragraph" w:styleId="Normal" w:default="1">
    <w:name w:val="Normal"/>
    <w:qFormat/>
    <w:rsid w:val="00394667"/>
    <w:pPr>
      <w:widowControl/>
      <w:suppressAutoHyphens w:val="true"/>
      <w:bidi w:val="0"/>
      <w:spacing w:lineRule="auto" w:line="276" w:before="0" w:after="200"/>
      <w:ind w:left="0" w:right="0" w:firstLine="709"/>
      <w:jc w:val="left"/>
    </w:pPr>
    <w:rPr>
      <w:rFonts w:ascii="Calibri" w:hAnsi="Calibri" w:eastAsia="Droid Sans Fallback" w:cs=""/>
      <w:color w:val="auto"/>
      <w:sz w:val="24"/>
      <w:szCs w:val="22"/>
      <w:lang w:val="ru-RU" w:eastAsia="ru-RU" w:bidi="ar-SA"/>
    </w:rPr>
  </w:style>
  <w:style w:type="paragraph" w:styleId="1">
    <w:name w:val="Заголовок 1"/>
    <w:qFormat/>
    <w:link w:val="10"/>
    <w:rsid w:val="0078666e"/>
    <w:basedOn w:val="Normal"/>
    <w:autoRedefine/>
    <w:pPr>
      <w:keepNext/>
      <w:keepLines/>
      <w:numPr>
        <w:ilvl w:val="0"/>
        <w:numId w:val="3"/>
      </w:numPr>
      <w:spacing w:lineRule="auto" w:line="240" w:before="60" w:after="120"/>
      <w:ind w:left="0" w:right="0" w:hanging="0"/>
      <w:jc w:val="center"/>
      <w:outlineLvl w:val="0"/>
    </w:pPr>
    <w:rPr>
      <w:rFonts w:ascii="Times New Roman" w:hAnsi="Times New Roman" w:cs="Times New Roman"/>
      <w:b/>
      <w:bCs/>
      <w:sz w:val="32"/>
      <w:szCs w:val="28"/>
    </w:rPr>
  </w:style>
  <w:style w:type="paragraph" w:styleId="2">
    <w:name w:val="Заголовок 2"/>
    <w:qFormat/>
    <w:unhideWhenUsed/>
    <w:link w:val="20"/>
    <w:rsid w:val="00fc1c34"/>
    <w:basedOn w:val="Normal"/>
    <w:autoRedefine/>
    <w:pPr>
      <w:keepNext/>
      <w:keepLines/>
      <w:spacing w:lineRule="auto" w:line="240" w:before="60" w:after="120"/>
      <w:ind w:left="0" w:right="0" w:hanging="0"/>
      <w:outlineLvl w:val="1"/>
    </w:pPr>
    <w:rPr>
      <w:rFonts w:ascii="Times New Roman" w:hAnsi="Times New Roman" w:cs="Times New Roman"/>
      <w:b/>
      <w:bCs/>
      <w:sz w:val="28"/>
      <w:szCs w:val="26"/>
    </w:rPr>
  </w:style>
  <w:style w:type="paragraph" w:styleId="3">
    <w:name w:val="Заголовок 3"/>
    <w:uiPriority w:val="99"/>
    <w:qFormat/>
    <w:unhideWhenUsed/>
    <w:link w:val="30"/>
    <w:rsid w:val="00ff4dee"/>
    <w:basedOn w:val="Normal"/>
    <w:autoRedefine/>
    <w:pPr>
      <w:keepNext/>
      <w:keepLines/>
      <w:spacing w:before="0" w:after="120"/>
      <w:ind w:left="0" w:right="0" w:hanging="0"/>
      <w:outlineLvl w:val="2"/>
    </w:pPr>
    <w:rPr>
      <w:rFonts w:ascii="Times New Roman" w:hAnsi="Times New Roman" w:cs=""/>
      <w:b/>
      <w:bCs/>
      <w:sz w:val="26"/>
    </w:rPr>
  </w:style>
  <w:style w:type="paragraph" w:styleId="4">
    <w:name w:val="Заголовок 4"/>
    <w:qFormat/>
    <w:unhideWhenUsed/>
    <w:link w:val="40"/>
    <w:rsid w:val="00d444f4"/>
    <w:basedOn w:val="Normal"/>
    <w:pPr>
      <w:keepNext/>
      <w:keepLines/>
      <w:spacing w:before="200" w:after="0"/>
      <w:ind w:left="0" w:right="0" w:hanging="0"/>
      <w:outlineLvl w:val="3"/>
    </w:pPr>
    <w:rPr>
      <w:rFonts w:ascii="Cambria" w:hAnsi="Cambria" w:cs=""/>
      <w:b/>
      <w:bCs/>
      <w:i/>
      <w:iCs/>
    </w:rPr>
  </w:style>
  <w:style w:type="paragraph" w:styleId="5">
    <w:name w:val="Заголовок 5"/>
    <w:qFormat/>
    <w:unhideWhenUsed/>
    <w:link w:val="50"/>
    <w:rsid w:val="00d444f4"/>
    <w:basedOn w:val="Normal"/>
    <w:pPr>
      <w:keepNext/>
      <w:keepLines/>
      <w:spacing w:before="200" w:after="0"/>
      <w:ind w:left="0" w:right="0" w:hanging="0"/>
      <w:outlineLvl w:val="4"/>
    </w:pPr>
    <w:rPr>
      <w:rFonts w:ascii="Cambria" w:hAnsi="Cambria" w:cs=""/>
    </w:rPr>
  </w:style>
  <w:style w:type="paragraph" w:styleId="6">
    <w:name w:val="Заголовок 6"/>
    <w:qFormat/>
    <w:unhideWhenUsed/>
    <w:link w:val="60"/>
    <w:rsid w:val="00a8115e"/>
    <w:basedOn w:val="Normal"/>
    <w:pPr>
      <w:keepNext/>
      <w:keepLines/>
      <w:spacing w:before="200" w:after="0"/>
      <w:ind w:left="0" w:right="0" w:hanging="0"/>
      <w:outlineLvl w:val="5"/>
    </w:pPr>
    <w:rPr>
      <w:rFonts w:ascii="Cambria" w:hAnsi="Cambria" w:cs=""/>
      <w:i/>
      <w:iCs/>
      <w:color w:val="243F60"/>
    </w:rPr>
  </w:style>
  <w:style w:type="paragraph" w:styleId="7">
    <w:name w:val="Заголовок 7"/>
    <w:uiPriority w:val="9"/>
    <w:qFormat/>
    <w:unhideWhenUsed/>
    <w:link w:val="70"/>
    <w:rsid w:val="00a8115e"/>
    <w:basedOn w:val="Normal"/>
    <w:pPr>
      <w:keepNext/>
      <w:keepLines/>
      <w:spacing w:before="200" w:after="0"/>
      <w:ind w:left="0" w:right="0" w:hanging="0"/>
      <w:outlineLvl w:val="6"/>
    </w:pPr>
    <w:rPr>
      <w:rFonts w:ascii="Cambria" w:hAnsi="Cambria" w:cs=""/>
      <w:i/>
      <w:iCs/>
      <w:color w:val="404040"/>
    </w:rPr>
  </w:style>
  <w:style w:type="paragraph" w:styleId="8">
    <w:name w:val="Заголовок 8"/>
    <w:uiPriority w:val="9"/>
    <w:qFormat/>
    <w:unhideWhenUsed/>
    <w:link w:val="80"/>
    <w:rsid w:val="00a8115e"/>
    <w:basedOn w:val="Normal"/>
    <w:pPr>
      <w:keepNext/>
      <w:keepLines/>
      <w:spacing w:before="200" w:after="0"/>
      <w:ind w:left="0" w:right="0" w:hanging="0"/>
      <w:outlineLvl w:val="7"/>
    </w:pPr>
    <w:rPr>
      <w:rFonts w:ascii="Cambria" w:hAnsi="Cambria" w:cs=""/>
      <w:color w:val="4F81BD"/>
      <w:szCs w:val="20"/>
    </w:rPr>
  </w:style>
  <w:style w:type="paragraph" w:styleId="9">
    <w:name w:val="Заголовок 9"/>
    <w:uiPriority w:val="9"/>
    <w:qFormat/>
    <w:unhideWhenUsed/>
    <w:link w:val="90"/>
    <w:rsid w:val="00a8115e"/>
    <w:basedOn w:val="Normal"/>
    <w:pPr>
      <w:keepNext/>
      <w:keepLines/>
      <w:spacing w:before="200" w:after="0"/>
      <w:ind w:left="0" w:right="0" w:hanging="0"/>
      <w:outlineLvl w:val="8"/>
    </w:pPr>
    <w:rPr>
      <w:rFonts w:ascii="Cambria" w:hAnsi="Cambria" w:cs=""/>
      <w:i/>
      <w:iCs/>
      <w:color w:val="404040"/>
      <w:szCs w:val="20"/>
    </w:rPr>
  </w:style>
  <w:style w:type="character" w:styleId="DefaultParagraphFont" w:default="1">
    <w:name w:val="Default Paragraph Font"/>
    <w:uiPriority w:val="1"/>
    <w:semiHidden/>
    <w:unhideWhenUsed/>
    <w:rPr/>
  </w:style>
  <w:style w:type="character" w:styleId="21" w:customStyle="1">
    <w:name w:val="Заголовок 2 Знак"/>
    <w:link w:val="2"/>
    <w:rsid w:val="00fc1c34"/>
    <w:basedOn w:val="DefaultParagraphFont"/>
    <w:rPr>
      <w:rFonts w:ascii="Times New Roman" w:hAnsi="Times New Roman" w:cs="Times New Roman"/>
      <w:b/>
      <w:bCs/>
      <w:sz w:val="28"/>
      <w:szCs w:val="26"/>
    </w:rPr>
  </w:style>
  <w:style w:type="character" w:styleId="Style5" w:customStyle="1">
    <w:name w:val="Схема документа Знак"/>
    <w:uiPriority w:val="99"/>
    <w:semiHidden/>
    <w:link w:val="a4"/>
    <w:rsid w:val="00f02f9c"/>
    <w:basedOn w:val="DefaultParagraphFont"/>
    <w:rPr>
      <w:rFonts w:ascii="Tahoma" w:hAnsi="Tahoma" w:cs="Tahoma"/>
      <w:sz w:val="16"/>
      <w:szCs w:val="16"/>
      <w:lang w:eastAsia="en-US"/>
    </w:rPr>
  </w:style>
  <w:style w:type="character" w:styleId="Strong">
    <w:name w:val="Strong"/>
    <w:uiPriority w:val="22"/>
    <w:qFormat/>
    <w:rsid w:val="00a8115e"/>
    <w:basedOn w:val="DefaultParagraphFont"/>
    <w:rPr>
      <w:b/>
      <w:bCs/>
    </w:rPr>
  </w:style>
  <w:style w:type="character" w:styleId="Style6" w:customStyle="1">
    <w:name w:val="Верхний колонтитул Знак"/>
    <w:uiPriority w:val="99"/>
    <w:link w:val="a8"/>
    <w:rsid w:val="006d45ac"/>
    <w:basedOn w:val="DefaultParagraphFont"/>
    <w:rPr>
      <w:rFonts w:ascii="Times New Roman" w:hAnsi="Times New Roman"/>
      <w:sz w:val="24"/>
      <w:szCs w:val="22"/>
      <w:lang w:eastAsia="en-US"/>
    </w:rPr>
  </w:style>
  <w:style w:type="character" w:styleId="Style7" w:customStyle="1">
    <w:name w:val="Нижний колонтитул Знак"/>
    <w:uiPriority w:val="99"/>
    <w:link w:val="aa"/>
    <w:rsid w:val="006d45ac"/>
    <w:basedOn w:val="DefaultParagraphFont"/>
    <w:rPr>
      <w:rFonts w:ascii="Times New Roman" w:hAnsi="Times New Roman"/>
      <w:sz w:val="24"/>
      <w:szCs w:val="22"/>
      <w:lang w:eastAsia="en-US"/>
    </w:rPr>
  </w:style>
  <w:style w:type="character" w:styleId="31" w:customStyle="1">
    <w:name w:val="Заголовок 3 Знак"/>
    <w:uiPriority w:val="99"/>
    <w:link w:val="3"/>
    <w:rsid w:val="00ff4dee"/>
    <w:basedOn w:val="DefaultParagraphFont"/>
    <w:rPr>
      <w:rFonts w:ascii="Times New Roman" w:hAnsi="Times New Roman" w:cs=""/>
      <w:b/>
      <w:bCs/>
      <w:sz w:val="26"/>
    </w:rPr>
  </w:style>
  <w:style w:type="character" w:styleId="11" w:customStyle="1">
    <w:name w:val="Заголовок 1 Знак"/>
    <w:link w:val="1"/>
    <w:rsid w:val="0078666e"/>
    <w:basedOn w:val="DefaultParagraphFont"/>
    <w:rPr>
      <w:rFonts w:ascii="Times New Roman" w:hAnsi="Times New Roman" w:cs="Times New Roman"/>
      <w:b/>
      <w:bCs/>
      <w:sz w:val="32"/>
      <w:szCs w:val="28"/>
    </w:rPr>
  </w:style>
  <w:style w:type="character" w:styleId="Style8" w:customStyle="1">
    <w:name w:val="Название Знак"/>
    <w:uiPriority w:val="10"/>
    <w:link w:val="ad"/>
    <w:rsid w:val="00a8115e"/>
    <w:basedOn w:val="DefaultParagraphFont"/>
    <w:rPr>
      <w:rFonts w:ascii="Cambria" w:hAnsi="Cambria" w:cs=""/>
      <w:color w:val="17365D"/>
      <w:spacing w:val="5"/>
      <w:sz w:val="52"/>
      <w:szCs w:val="52"/>
    </w:rPr>
  </w:style>
  <w:style w:type="character" w:styleId="41" w:customStyle="1">
    <w:name w:val="Заголовок 4 Знак"/>
    <w:link w:val="4"/>
    <w:rsid w:val="00d444f4"/>
    <w:basedOn w:val="DefaultParagraphFont"/>
    <w:rPr>
      <w:rFonts w:ascii="Cambria" w:hAnsi="Cambria" w:cs=""/>
      <w:b/>
      <w:bCs/>
      <w:i/>
      <w:iCs/>
      <w:sz w:val="24"/>
    </w:rPr>
  </w:style>
  <w:style w:type="character" w:styleId="Style9">
    <w:name w:val="Интернет-ссылка"/>
    <w:uiPriority w:val="99"/>
    <w:unhideWhenUsed/>
    <w:rsid w:val="00b65861"/>
    <w:basedOn w:val="DefaultParagraphFont"/>
    <w:rPr>
      <w:color w:val="0000FF"/>
      <w:u w:val="single"/>
      <w:lang w:val="zxx" w:eastAsia="zxx" w:bidi="zxx"/>
    </w:rPr>
  </w:style>
  <w:style w:type="character" w:styleId="Annotationreference">
    <w:name w:val="annotation reference"/>
    <w:uiPriority w:val="99"/>
    <w:unhideWhenUsed/>
    <w:rsid w:val="00266e41"/>
    <w:basedOn w:val="DefaultParagraphFont"/>
    <w:rPr>
      <w:sz w:val="16"/>
      <w:szCs w:val="16"/>
    </w:rPr>
  </w:style>
  <w:style w:type="character" w:styleId="Style10" w:customStyle="1">
    <w:name w:val="Текст примечания Знак"/>
    <w:uiPriority w:val="99"/>
    <w:link w:val="af2"/>
    <w:rsid w:val="00266e41"/>
    <w:basedOn w:val="DefaultParagraphFont"/>
    <w:rPr>
      <w:rFonts w:ascii="Times New Roman" w:hAnsi="Times New Roman"/>
      <w:lang w:eastAsia="en-US"/>
    </w:rPr>
  </w:style>
  <w:style w:type="character" w:styleId="Style11" w:customStyle="1">
    <w:name w:val="Тема примечания Знак"/>
    <w:uiPriority w:val="99"/>
    <w:semiHidden/>
    <w:link w:val="af4"/>
    <w:rsid w:val="00266e41"/>
    <w:basedOn w:val="Style10"/>
    <w:rPr>
      <w:rFonts w:ascii="Times New Roman" w:hAnsi="Times New Roman"/>
      <w:b/>
      <w:bCs/>
      <w:lang w:eastAsia="en-US"/>
    </w:rPr>
  </w:style>
  <w:style w:type="character" w:styleId="Style12" w:customStyle="1">
    <w:name w:val="Текст выноски Знак"/>
    <w:uiPriority w:val="99"/>
    <w:semiHidden/>
    <w:link w:val="af6"/>
    <w:rsid w:val="00266e41"/>
    <w:basedOn w:val="DefaultParagraphFont"/>
    <w:rPr>
      <w:rFonts w:ascii="Tahoma" w:hAnsi="Tahoma" w:cs="Tahoma"/>
      <w:sz w:val="16"/>
      <w:szCs w:val="16"/>
      <w:lang w:eastAsia="en-US"/>
    </w:rPr>
  </w:style>
  <w:style w:type="character" w:styleId="DFN" w:customStyle="1">
    <w:name w:val="DFN"/>
    <w:rsid w:val="00c36681"/>
    <w:basedOn w:val="DefaultParagraphFont"/>
    <w:rPr>
      <w:b/>
    </w:rPr>
  </w:style>
  <w:style w:type="character" w:styleId="HTML" w:customStyle="1">
    <w:name w:val="Стандартный HTML Знак"/>
    <w:link w:val="HTML"/>
    <w:rsid w:val="00975379"/>
    <w:basedOn w:val="DefaultParagraphFont"/>
    <w:rPr>
      <w:rFonts w:ascii="Courier New" w:hAnsi="Courier New" w:eastAsia="Times New Roman" w:cs="Courier New"/>
    </w:rPr>
  </w:style>
  <w:style w:type="character" w:styleId="Footnotereference">
    <w:name w:val="footnote reference"/>
    <w:rsid w:val="00564d56"/>
    <w:basedOn w:val="DefaultParagraphFont"/>
    <w:rPr>
      <w:vertAlign w:val="superscript"/>
    </w:rPr>
  </w:style>
  <w:style w:type="character" w:styleId="51" w:customStyle="1">
    <w:name w:val="Заголовок 5 Знак"/>
    <w:link w:val="5"/>
    <w:rsid w:val="00d444f4"/>
    <w:basedOn w:val="DefaultParagraphFont"/>
    <w:rPr>
      <w:rFonts w:ascii="Cambria" w:hAnsi="Cambria" w:cs=""/>
      <w:sz w:val="24"/>
    </w:rPr>
  </w:style>
  <w:style w:type="character" w:styleId="61" w:customStyle="1">
    <w:name w:val="Заголовок 6 Знак"/>
    <w:link w:val="6"/>
    <w:rsid w:val="00a8115e"/>
    <w:basedOn w:val="DefaultParagraphFont"/>
    <w:rPr>
      <w:rFonts w:ascii="Cambria" w:hAnsi="Cambria" w:cs=""/>
      <w:i/>
      <w:iCs/>
      <w:color w:val="243F60"/>
      <w:sz w:val="24"/>
    </w:rPr>
  </w:style>
  <w:style w:type="character" w:styleId="71" w:customStyle="1">
    <w:name w:val="Заголовок 7 Знак"/>
    <w:link w:val="7"/>
    <w:rsid w:val="00a8115e"/>
    <w:basedOn w:val="DefaultParagraphFont"/>
    <w:rPr>
      <w:rFonts w:ascii="Cambria" w:hAnsi="Cambria" w:cs=""/>
      <w:i/>
      <w:iCs/>
      <w:color w:val="404040"/>
      <w:sz w:val="24"/>
    </w:rPr>
  </w:style>
  <w:style w:type="character" w:styleId="81" w:customStyle="1">
    <w:name w:val="Заголовок 8 Знак"/>
    <w:link w:val="8"/>
    <w:rsid w:val="00a8115e"/>
    <w:basedOn w:val="DefaultParagraphFont"/>
    <w:rPr>
      <w:rFonts w:ascii="Cambria" w:hAnsi="Cambria" w:cs=""/>
      <w:color w:val="4F81BD"/>
      <w:sz w:val="24"/>
      <w:szCs w:val="20"/>
    </w:rPr>
  </w:style>
  <w:style w:type="character" w:styleId="91" w:customStyle="1">
    <w:name w:val="Заголовок 9 Знак"/>
    <w:link w:val="9"/>
    <w:rsid w:val="00a8115e"/>
    <w:basedOn w:val="DefaultParagraphFont"/>
    <w:rPr>
      <w:rFonts w:ascii="Cambria" w:hAnsi="Cambria" w:cs=""/>
      <w:i/>
      <w:iCs/>
      <w:color w:val="404040"/>
      <w:sz w:val="24"/>
      <w:szCs w:val="20"/>
    </w:rPr>
  </w:style>
  <w:style w:type="character" w:styleId="Style13" w:customStyle="1">
    <w:name w:val="Подзаголовок Знак"/>
    <w:uiPriority w:val="11"/>
    <w:link w:val="afb"/>
    <w:rsid w:val="00a8115e"/>
    <w:basedOn w:val="DefaultParagraphFont"/>
    <w:rPr>
      <w:rFonts w:ascii="Cambria" w:hAnsi="Cambria" w:cs=""/>
      <w:i/>
      <w:iCs/>
      <w:color w:val="4F81BD"/>
      <w:spacing w:val="15"/>
      <w:sz w:val="24"/>
      <w:szCs w:val="24"/>
    </w:rPr>
  </w:style>
  <w:style w:type="character" w:styleId="Style14">
    <w:name w:val="Выделение"/>
    <w:uiPriority w:val="20"/>
    <w:qFormat/>
    <w:rsid w:val="00a8115e"/>
    <w:basedOn w:val="DefaultParagraphFont"/>
    <w:rPr>
      <w:i/>
      <w:iCs/>
    </w:rPr>
  </w:style>
  <w:style w:type="character" w:styleId="22" w:customStyle="1">
    <w:name w:val="Цитата 2 Знак"/>
    <w:uiPriority w:val="29"/>
    <w:link w:val="22"/>
    <w:rsid w:val="00a8115e"/>
    <w:basedOn w:val="DefaultParagraphFont"/>
    <w:rPr>
      <w:i/>
      <w:iCs/>
      <w:color w:val="000000"/>
    </w:rPr>
  </w:style>
  <w:style w:type="character" w:styleId="Style15" w:customStyle="1">
    <w:name w:val="Выделенная цитата Знак"/>
    <w:uiPriority w:val="30"/>
    <w:link w:val="aff0"/>
    <w:rsid w:val="00a8115e"/>
    <w:basedOn w:val="DefaultParagraphFont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a8115e"/>
    <w:basedOn w:val="DefaultParagraphFont"/>
    <w:rPr>
      <w:i/>
      <w:iCs/>
      <w:color w:val="808080"/>
    </w:rPr>
  </w:style>
  <w:style w:type="character" w:styleId="IntenseEmphasis">
    <w:name w:val="Intense Emphasis"/>
    <w:uiPriority w:val="21"/>
    <w:qFormat/>
    <w:rsid w:val="00a8115e"/>
    <w:basedOn w:val="DefaultParagraphFont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a8115e"/>
    <w:basedOn w:val="DefaultParagraphFont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a8115e"/>
    <w:basedOn w:val="DefaultParagraphFont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a8115e"/>
    <w:basedOn w:val="DefaultParagraphFont"/>
    <w:rPr>
      <w:b/>
      <w:bCs/>
      <w:smallCaps/>
      <w:spacing w:val="5"/>
    </w:rPr>
  </w:style>
  <w:style w:type="character" w:styleId="Style16" w:customStyle="1">
    <w:name w:val="Текст сноски Знак"/>
    <w:uiPriority w:val="99"/>
    <w:semiHidden/>
    <w:link w:val="aff7"/>
    <w:rsid w:val="00197afb"/>
    <w:basedOn w:val="DefaultParagraphFont"/>
    <w:rPr>
      <w:sz w:val="20"/>
      <w:szCs w:val="20"/>
    </w:rPr>
  </w:style>
  <w:style w:type="character" w:styleId="FollowedHyperlink">
    <w:name w:val="FollowedHyperlink"/>
    <w:uiPriority w:val="99"/>
    <w:semiHidden/>
    <w:unhideWhenUsed/>
    <w:rsid w:val="004a31c7"/>
    <w:basedOn w:val="DefaultParagraphFont"/>
    <w:rPr>
      <w:color w:val="800080"/>
      <w:u w:val="single"/>
    </w:rPr>
  </w:style>
  <w:style w:type="character" w:styleId="ListLabel1">
    <w:name w:val="ListLabel 1"/>
    <w:rPr>
      <w:rFonts w:cs="Courier New"/>
    </w:rPr>
  </w:style>
  <w:style w:type="character" w:styleId="ListLabel2">
    <w:name w:val="ListLabel 2"/>
    <w:rPr>
      <w:rFonts w:cs="Times New Roman"/>
    </w:rPr>
  </w:style>
  <w:style w:type="character" w:styleId="ListLabel3">
    <w:name w:val="ListLabel 3"/>
    <w:rPr>
      <w:rFonts w:cs="Times New Roman"/>
      <w:b/>
      <w:sz w:val="28"/>
      <w:szCs w:val="28"/>
    </w:rPr>
  </w:style>
  <w:style w:type="character" w:styleId="Style17">
    <w:name w:val="Ссылка указателя"/>
    <w:rPr/>
  </w:style>
  <w:style w:type="character" w:styleId="Style18">
    <w:name w:val="Символ сноски"/>
    <w:rPr/>
  </w:style>
  <w:style w:type="character" w:styleId="Style19">
    <w:name w:val="Привязка сноски"/>
    <w:rPr>
      <w:vertAlign w:val="superscript"/>
    </w:rPr>
  </w:style>
  <w:style w:type="character" w:styleId="Style20">
    <w:name w:val="Привязка концевой сноски"/>
    <w:rPr>
      <w:vertAlign w:val="superscript"/>
    </w:rPr>
  </w:style>
  <w:style w:type="character" w:styleId="Style21">
    <w:name w:val="Символы концевой сноски"/>
    <w:rPr/>
  </w:style>
  <w:style w:type="paragraph" w:styleId="Style22">
    <w:name w:val="Заголовок"/>
    <w:basedOn w:val="Normal"/>
    <w:next w:val="Style23"/>
    <w:pPr>
      <w:keepNext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23">
    <w:name w:val="Основной текст"/>
    <w:basedOn w:val="Normal"/>
    <w:pPr>
      <w:spacing w:lineRule="auto" w:line="288" w:before="0" w:after="140"/>
    </w:pPr>
    <w:rPr/>
  </w:style>
  <w:style w:type="paragraph" w:styleId="Style24">
    <w:name w:val="Список"/>
    <w:basedOn w:val="Style23"/>
    <w:pPr/>
    <w:rPr>
      <w:rFonts w:cs="Droid Sans Devanagari"/>
    </w:rPr>
  </w:style>
  <w:style w:type="paragraph" w:styleId="Style25">
    <w:name w:val="Название"/>
    <w:basedOn w:val="Normal"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6">
    <w:name w:val="Указатель"/>
    <w:basedOn w:val="Normal"/>
    <w:pPr>
      <w:suppressLineNumbers/>
    </w:pPr>
    <w:rPr>
      <w:rFonts w:cs="Droid Sans Devanagari"/>
    </w:rPr>
  </w:style>
  <w:style w:type="paragraph" w:styleId="DocumentMap">
    <w:name w:val="Document Map"/>
    <w:uiPriority w:val="99"/>
    <w:semiHidden/>
    <w:unhideWhenUsed/>
    <w:link w:val="a5"/>
    <w:rsid w:val="00f02f9c"/>
    <w:basedOn w:val="Normal"/>
    <w:pPr/>
    <w:rPr>
      <w:rFonts w:ascii="Tahoma" w:hAnsi="Tahoma" w:cs="Tahoma"/>
      <w:sz w:val="16"/>
      <w:szCs w:val="16"/>
    </w:rPr>
  </w:style>
  <w:style w:type="paragraph" w:styleId="NormalWeb">
    <w:name w:val="Normal (Web)"/>
    <w:uiPriority w:val="99"/>
    <w:unhideWhenUsed/>
    <w:rsid w:val="006d45ac"/>
    <w:basedOn w:val="Normal"/>
    <w:pPr>
      <w:spacing w:before="0" w:after="280"/>
    </w:pPr>
    <w:rPr>
      <w:rFonts w:ascii="Verdana" w:hAnsi="Verdana" w:eastAsia="Times New Roman"/>
      <w:sz w:val="18"/>
      <w:szCs w:val="18"/>
    </w:rPr>
  </w:style>
  <w:style w:type="paragraph" w:styleId="Style27">
    <w:name w:val="Верхний колонтитул"/>
    <w:uiPriority w:val="99"/>
    <w:unhideWhenUsed/>
    <w:link w:val="a9"/>
    <w:rsid w:val="006d45ac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8">
    <w:name w:val="Нижний колонтитул"/>
    <w:uiPriority w:val="99"/>
    <w:unhideWhenUsed/>
    <w:link w:val="ab"/>
    <w:rsid w:val="006d45ac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Style29">
    <w:name w:val="Заглавие"/>
    <w:uiPriority w:val="10"/>
    <w:qFormat/>
    <w:link w:val="ae"/>
    <w:rsid w:val="00a8115e"/>
    <w:basedOn w:val="Normal"/>
    <w:pPr>
      <w:pBdr>
        <w:top w:val="nil"/>
        <w:left w:val="nil"/>
        <w:bottom w:val="single" w:sz="8" w:space="4" w:color="4F81BD"/>
        <w:right w:val="nil"/>
      </w:pBdr>
      <w:spacing w:lineRule="auto" w:line="240" w:before="0" w:after="300"/>
      <w:contextualSpacing/>
      <w:jc w:val="left"/>
    </w:pPr>
    <w:rPr>
      <w:rFonts w:ascii="Cambria" w:hAnsi="Cambria" w:cs=""/>
      <w:color w:val="17365D"/>
      <w:spacing w:val="5"/>
      <w:sz w:val="52"/>
      <w:szCs w:val="52"/>
    </w:rPr>
  </w:style>
  <w:style w:type="paragraph" w:styleId="Style30">
    <w:name w:val="Заголовок оглавления"/>
    <w:uiPriority w:val="39"/>
    <w:qFormat/>
    <w:semiHidden/>
    <w:unhideWhenUsed/>
    <w:rsid w:val="00a8115e"/>
    <w:basedOn w:val="1"/>
    <w:pPr/>
    <w:rPr/>
  </w:style>
  <w:style w:type="paragraph" w:styleId="12">
    <w:name w:val="Оглавление 1"/>
    <w:uiPriority w:val="39"/>
    <w:unhideWhenUsed/>
    <w:rsid w:val="0078666e"/>
    <w:basedOn w:val="Normal"/>
    <w:autoRedefine/>
    <w:pPr>
      <w:tabs>
        <w:tab w:val="right" w:pos="9911" w:leader="dot"/>
      </w:tabs>
      <w:spacing w:lineRule="auto" w:line="240" w:before="0" w:after="0"/>
      <w:ind w:left="0" w:right="0" w:hanging="0"/>
    </w:pPr>
    <w:rPr>
      <w:rFonts w:ascii="Times New Roman" w:hAnsi="Times New Roman"/>
      <w:b/>
      <w:sz w:val="26"/>
    </w:rPr>
  </w:style>
  <w:style w:type="paragraph" w:styleId="23">
    <w:name w:val="Оглавление 2"/>
    <w:uiPriority w:val="39"/>
    <w:unhideWhenUsed/>
    <w:rsid w:val="0078666e"/>
    <w:basedOn w:val="Normal"/>
    <w:autoRedefine/>
    <w:pPr>
      <w:tabs>
        <w:tab w:val="right" w:pos="9911" w:leader="dot"/>
      </w:tabs>
      <w:spacing w:lineRule="auto" w:line="240" w:before="0" w:after="0"/>
      <w:ind w:left="567" w:right="0" w:hanging="0"/>
    </w:pPr>
    <w:rPr>
      <w:rFonts w:ascii="Times New Roman" w:hAnsi="Times New Roman"/>
      <w:sz w:val="26"/>
    </w:rPr>
  </w:style>
  <w:style w:type="paragraph" w:styleId="Annotationtext">
    <w:name w:val="annotation text"/>
    <w:uiPriority w:val="99"/>
    <w:unhideWhenUsed/>
    <w:link w:val="af3"/>
    <w:rsid w:val="00266e41"/>
    <w:basedOn w:val="Normal"/>
    <w:pPr/>
    <w:rPr>
      <w:szCs w:val="20"/>
    </w:rPr>
  </w:style>
  <w:style w:type="paragraph" w:styleId="Annotationsubject">
    <w:name w:val="annotation subject"/>
    <w:uiPriority w:val="99"/>
    <w:semiHidden/>
    <w:unhideWhenUsed/>
    <w:link w:val="af5"/>
    <w:rsid w:val="00266e41"/>
    <w:basedOn w:val="Annotationtext"/>
    <w:pPr/>
    <w:rPr>
      <w:b/>
      <w:bCs/>
    </w:rPr>
  </w:style>
  <w:style w:type="paragraph" w:styleId="BalloonText">
    <w:name w:val="Balloon Text"/>
    <w:uiPriority w:val="99"/>
    <w:semiHidden/>
    <w:unhideWhenUsed/>
    <w:link w:val="af7"/>
    <w:rsid w:val="00266e41"/>
    <w:basedOn w:val="Normal"/>
    <w:pPr>
      <w:spacing w:before="0" w:after="0"/>
    </w:pPr>
    <w:rPr>
      <w:rFonts w:ascii="Tahoma" w:hAnsi="Tahoma" w:cs="Tahoma"/>
      <w:sz w:val="16"/>
      <w:szCs w:val="16"/>
    </w:rPr>
  </w:style>
  <w:style w:type="paragraph" w:styleId="32">
    <w:name w:val="Оглавление 3"/>
    <w:uiPriority w:val="39"/>
    <w:unhideWhenUsed/>
    <w:rsid w:val="00d01ed9"/>
    <w:basedOn w:val="Normal"/>
    <w:autoRedefine/>
    <w:pPr>
      <w:ind w:left="480" w:right="0" w:firstLine="709"/>
    </w:pPr>
    <w:rPr/>
  </w:style>
  <w:style w:type="paragraph" w:styleId="0" w:customStyle="1">
    <w:name w:val="ТЗ_Заголовок0"/>
    <w:rsid w:val="00c36681"/>
    <w:basedOn w:val="1"/>
    <w:pPr>
      <w:pBdr>
        <w:top w:val="nil"/>
        <w:left w:val="nil"/>
        <w:bottom w:val="single" w:sz="4" w:space="1" w:color="00000A"/>
        <w:right w:val="nil"/>
      </w:pBdr>
      <w:suppressAutoHyphens w:val="true"/>
      <w:spacing w:lineRule="atLeast" w:line="320" w:before="220" w:after="60"/>
      <w:ind w:left="426" w:right="0" w:hanging="426"/>
    </w:pPr>
    <w:rPr>
      <w:bCs w:val="false"/>
      <w:spacing w:val="-20"/>
      <w:sz w:val="44"/>
      <w:szCs w:val="20"/>
    </w:rPr>
  </w:style>
  <w:style w:type="paragraph" w:styleId="Style31" w:customStyle="1">
    <w:name w:val="Простой"/>
    <w:rsid w:val="00c36681"/>
    <w:basedOn w:val="Normal"/>
    <w:pPr>
      <w:spacing w:lineRule="auto" w:line="360" w:before="0" w:after="0"/>
    </w:pPr>
    <w:rPr>
      <w:rFonts w:ascii="Arial" w:hAnsi="Arial" w:eastAsia="Times New Roman"/>
      <w:spacing w:val="-5"/>
      <w:szCs w:val="20"/>
    </w:rPr>
  </w:style>
  <w:style w:type="paragraph" w:styleId="Maintext" w:customStyle="1">
    <w:name w:val="Main_text"/>
    <w:rsid w:val="00df4d34"/>
    <w:pPr>
      <w:widowControl/>
      <w:suppressAutoHyphens w:val="true"/>
      <w:bidi w:val="0"/>
      <w:spacing w:lineRule="auto" w:line="360" w:before="120" w:after="200"/>
      <w:ind w:left="357" w:right="0" w:hanging="0"/>
      <w:jc w:val="both"/>
    </w:pPr>
    <w:rPr>
      <w:rFonts w:ascii="Times New Roman" w:hAnsi="Times New Roman" w:eastAsia="Times New Roman" w:cs=""/>
      <w:color w:val="auto"/>
      <w:sz w:val="24"/>
      <w:szCs w:val="24"/>
      <w:lang w:val="ru-RU" w:eastAsia="ru-RU" w:bidi="ar-SA"/>
    </w:rPr>
  </w:style>
  <w:style w:type="paragraph" w:styleId="HTMLPreformatted">
    <w:name w:val="HTML Preformatted"/>
    <w:link w:val="HTML0"/>
    <w:rsid w:val="00975379"/>
    <w:basedOn w:val="Normal"/>
    <w:pPr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before="0" w:after="0"/>
    </w:pPr>
    <w:rPr>
      <w:rFonts w:ascii="Courier New" w:hAnsi="Courier New" w:eastAsia="Times New Roman" w:cs="Courier New"/>
      <w:szCs w:val="20"/>
    </w:rPr>
  </w:style>
  <w:style w:type="paragraph" w:styleId="Caption">
    <w:name w:val="caption"/>
    <w:qFormat/>
    <w:unhideWhenUsed/>
    <w:rsid w:val="00d444f4"/>
    <w:basedOn w:val="Normal"/>
    <w:pPr>
      <w:spacing w:lineRule="auto" w:line="240"/>
    </w:pPr>
    <w:rPr>
      <w:b/>
      <w:bCs/>
      <w:sz w:val="20"/>
      <w:szCs w:val="18"/>
    </w:rPr>
  </w:style>
  <w:style w:type="paragraph" w:styleId="Style32">
    <w:name w:val="Подзаголовок"/>
    <w:uiPriority w:val="11"/>
    <w:qFormat/>
    <w:link w:val="afc"/>
    <w:rsid w:val="00a8115e"/>
    <w:basedOn w:val="Normal"/>
    <w:pPr>
      <w:ind w:left="0" w:right="0" w:firstLine="709"/>
      <w:jc w:val="left"/>
    </w:pPr>
    <w:rPr>
      <w:rFonts w:ascii="Cambria" w:hAnsi="Cambria" w:cs=""/>
      <w:i/>
      <w:iCs/>
      <w:color w:val="4F81BD"/>
      <w:spacing w:val="15"/>
      <w:szCs w:val="24"/>
    </w:rPr>
  </w:style>
  <w:style w:type="paragraph" w:styleId="NoSpacing">
    <w:name w:val="No Spacing"/>
    <w:uiPriority w:val="1"/>
    <w:qFormat/>
    <w:rsid w:val="00a8115e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Droid Sans Fallback" w:cs=""/>
      <w:color w:val="auto"/>
      <w:sz w:val="22"/>
      <w:szCs w:val="22"/>
      <w:lang w:val="ru-RU" w:eastAsia="ru-RU" w:bidi="ar-SA"/>
    </w:rPr>
  </w:style>
  <w:style w:type="paragraph" w:styleId="ListParagraph">
    <w:name w:val="List Paragraph"/>
    <w:uiPriority w:val="34"/>
    <w:qFormat/>
    <w:rsid w:val="00a8115e"/>
    <w:basedOn w:val="Normal"/>
    <w:pPr>
      <w:spacing w:before="0" w:after="200"/>
      <w:ind w:left="720" w:right="0" w:firstLine="709"/>
      <w:contextualSpacing/>
    </w:pPr>
    <w:rPr/>
  </w:style>
  <w:style w:type="paragraph" w:styleId="Quote">
    <w:name w:val="Quote"/>
    <w:uiPriority w:val="29"/>
    <w:qFormat/>
    <w:link w:val="23"/>
    <w:rsid w:val="00a8115e"/>
    <w:basedOn w:val="Normal"/>
    <w:pPr/>
    <w:rPr>
      <w:i/>
      <w:iCs/>
      <w:color w:val="000000"/>
    </w:rPr>
  </w:style>
  <w:style w:type="paragraph" w:styleId="IntenseQuote">
    <w:name w:val="Intense Quote"/>
    <w:uiPriority w:val="30"/>
    <w:qFormat/>
    <w:link w:val="aff1"/>
    <w:rsid w:val="00a8115e"/>
    <w:basedOn w:val="Normal"/>
    <w:pPr>
      <w:pBdr>
        <w:top w:val="nil"/>
        <w:left w:val="nil"/>
        <w:bottom w:val="single" w:sz="4" w:space="4" w:color="4F81BD"/>
        <w:right w:val="nil"/>
      </w:pBdr>
      <w:spacing w:before="200" w:after="280"/>
      <w:ind w:left="936" w:right="936" w:firstLine="709"/>
    </w:pPr>
    <w:rPr>
      <w:b/>
      <w:bCs/>
      <w:i/>
      <w:iCs/>
      <w:color w:val="4F81BD"/>
    </w:rPr>
  </w:style>
  <w:style w:type="paragraph" w:styleId="Footnotetext">
    <w:name w:val="footnote text"/>
    <w:uiPriority w:val="99"/>
    <w:semiHidden/>
    <w:unhideWhenUsed/>
    <w:link w:val="aff8"/>
    <w:rsid w:val="00197afb"/>
    <w:basedOn w:val="Normal"/>
    <w:pPr>
      <w:spacing w:lineRule="auto" w:line="240" w:before="0" w:after="0"/>
    </w:pPr>
    <w:rPr>
      <w:szCs w:val="20"/>
    </w:rPr>
  </w:style>
  <w:style w:type="paragraph" w:styleId="ListBullet">
    <w:name w:val="List Bullet"/>
    <w:uiPriority w:val="99"/>
    <w:unhideWhenUsed/>
    <w:rsid w:val="00e216e8"/>
    <w:basedOn w:val="Normal"/>
    <w:pPr>
      <w:numPr>
        <w:ilvl w:val="0"/>
        <w:numId w:val="1"/>
      </w:numPr>
      <w:spacing w:before="0" w:after="200"/>
      <w:contextualSpacing/>
    </w:pPr>
    <w:rPr/>
  </w:style>
  <w:style w:type="paragraph" w:styleId="Revision">
    <w:name w:val="Revision"/>
    <w:uiPriority w:val="99"/>
    <w:semiHidden/>
    <w:rsid w:val="00be4636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Droid Sans Fallback" w:cs=""/>
      <w:color w:val="auto"/>
      <w:sz w:val="24"/>
      <w:szCs w:val="22"/>
      <w:lang w:val="ru-RU" w:eastAsia="ru-RU" w:bidi="ar-SA"/>
    </w:rPr>
  </w:style>
  <w:style w:type="paragraph" w:styleId="Style33">
    <w:name w:val="Сноска"/>
    <w:basedOn w:val="Normal"/>
    <w:pPr/>
    <w:rPr/>
  </w:style>
  <w:style w:type="numbering" w:styleId="NoList" w:default="1">
    <w:name w:val="No List"/>
    <w:uiPriority w:val="99"/>
    <w:semiHidden/>
    <w:unhideWhenUsed/>
  </w:style>
  <w:style w:type="table" w:default="1" w:styleId="a2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2"/>
    <w:uiPriority w:val="59"/>
    <w:rsid w:val="00ef69cb"/>
    <w:tblPr>
      <w:tblInd w:type="dxa" w:w="0"/>
      <w:tblBorders>
        <w:top w:space="0" w:sz="4" w:color="000000" w:val="single"/>
        <w:left w:space="0" w:sz="4" w:color="000000" w:val="single"/>
        <w:bottom w:space="0" w:sz="4" w:color="000000" w:val="single"/>
        <w:right w:space="0" w:sz="4" w:color="000000" w:val="single"/>
        <w:insideH w:space="0" w:sz="4" w:color="000000" w:val="single"/>
        <w:insideV w:space="0" w:sz="4" w:color="000000" w:val="single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oter" Target="footer1.xml"/><Relationship Id="rId3" Type="http://schemas.openxmlformats.org/officeDocument/2006/relationships/hyperlink" Target="http://www.rustest.ru/img/ege/ege2008-blank-2-dop.jpg" TargetMode="Externa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pn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footer" Target="footer2.xml"/><Relationship Id="rId18" Type="http://schemas.openxmlformats.org/officeDocument/2006/relationships/footnotes" Target="footnotes.xml"/><Relationship Id="rId19" Type="http://schemas.openxmlformats.org/officeDocument/2006/relationships/numbering" Target="numbering.xm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<Relationship Id="rId23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7A5F5F-D95C-4FAB-BECD-42779310AE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2015-12-28T09:44:00Z</dcterms:created>
  <dc:creator>Таюрская Анастасия Александровна</dc:creator>
  <dc:language>ru-RU</dc:language>
  <cp:lastModifiedBy>Хруслов Максим Вадимович</cp:lastModifiedBy>
  <cp:lastPrinted>2015-02-05T06:42:00Z</cp:lastPrinted>
  <dcterms:modified xsi:type="dcterms:W3CDTF">2015-12-30T15:08:00Z</dcterms:modified>
  <cp:revision>10</cp:revision>
</cp:coreProperties>
</file>